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“8491”国防工程建设支前民兵医疗和生活困难专项资金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对三明市、龙岩市11个县（市、区）“8491”国防工程建设患矽肺病的支前民兵进行医疗和生活补助，省、市、县按照资金补助标准7：2：1的比例进行配套。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有效缓解补助对象的医疗和生活困难压力，有力维护了该群体的安定稳定，促进社会和谐稳定。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93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17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15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1)保障三期矽肺病患者人数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43.00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45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2)保障二期矽肺病患者人数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170.00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160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3)保障一期矽肺病患者人数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662.00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626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4)保障疑似矽肺病患者人数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102.00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5)死亡矽肺病患者人数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40.00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1)矽肺病患者认定合格率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1)资金拨付及时率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1)三期患者医疗补助标准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14000.00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14000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2)三期患者生活补助标准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2300.00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2300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3)二期患者医疗补助标准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8000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4)二期患者生活补助标准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1700.00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1700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5)一期患者医疗补助标准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4000.00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4000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6)一期患者生活补助标准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1200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7)疑似矽肺病患者补助标准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8)死亡矽肺病患者补助标准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5000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1)受助对象覆盖率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1)服务对象满意度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“8491”矽肺病支前民兵，平均年龄都在80岁左右，基本丧失了劳动能力，医疗开支大，医疗和生活补贴标准仍然偏低。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建议适时提高“8491”国防工程患矽肺病支前民兵医疗和生活困难补贴补助资金，有效缓解这部分人群生活困难问题。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