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革命“五老”人员生活和医疗补助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革命“五老”人员（1949年9月30日前参加革命、建国后仍留在农村工作的老地下党员、老游击队员、老接头户、老交通员、老苏区乡干部）及时足额发放定期生活补助和医疗补助资金，支持市、县（区）的革命“五老”人员基本生活保障和医疗救助，落实革命“五老”人员补助标准与重点抚恤优待对象定期抚恤标准同步增长机制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，对全省健在革命“五老”人员发放每月生活定期补助和一次性医疗补助资金，其中生活定补省定标准1-7月为1720元/人/月，8-12月为1870元/人/月，医疗补助省定标准为600元/人/年，所有补助资金均及时足额发放到位，未发现资金挪用等违规情形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11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11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1)革命“五老”人员生活定补人员数量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1112.00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879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2)革命“五老”人员医疗补助人员数量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1112.00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879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1)资金实施专项管理，出现违规使用现象的次数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1)定期生活补助资金及时发放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1)“革命五老”人员医疗补助标准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600.00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600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2)革命“五老”人员门诊补助标准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元/人/年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180.00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180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3)“革命五老”人员每月生活定补标准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1720.00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1720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1)革命“五老”人员对相关政策的知晓率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98.87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2)革命“五老”人员生活和医疗补助覆盖率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1)革命“五老”人员生活补助水平比上年提升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1)革命“五老”人员对老区部门的工作满意度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99.36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开展绩效自评、收集各地材料过程中，发现各地革命“五老”人员医疗补助资金发放方式和发放时间不一致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建议统一发放时间和发放方式，在每年第一季度前将180元个人门诊费用划拨给健在的革命“五老”人员，剩余资金全部纳入医疗补助基金。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