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养老机构强制性标准落实情况第三方评估</w:t>
      </w:r>
    </w:p>
    <w:p>
      <w:pPr>
        <w:pStyle w:val="null3"/>
        <w:jc w:val="center"/>
        <w:outlineLvl w:val="2"/>
      </w:pPr>
      <w:r>
        <w:rPr>
          <w:b/>
          <w:sz w:val="28"/>
        </w:rPr>
        <w:t>备案编号：</w:t>
      </w:r>
      <w:r>
        <w:rPr>
          <w:b/>
          <w:sz w:val="28"/>
        </w:rPr>
        <w:t>CGXM-2023-350001-12229[2023]11577</w:t>
      </w:r>
    </w:p>
    <w:p>
      <w:pPr>
        <w:pStyle w:val="null3"/>
        <w:jc w:val="center"/>
        <w:outlineLvl w:val="2"/>
      </w:pPr>
      <w:r>
        <w:rPr>
          <w:b/>
          <w:sz w:val="28"/>
        </w:rPr>
        <w:t>项目编号：</w:t>
      </w:r>
      <w:r>
        <w:rPr>
          <w:b/>
          <w:sz w:val="28"/>
        </w:rPr>
        <w:t>[350001]HHPM[GK]2023038</w:t>
      </w:r>
    </w:p>
    <w:p>
      <w:pPr>
        <w:pStyle w:val="null3"/>
        <w:jc w:val="center"/>
        <w:outlineLvl w:val="2"/>
      </w:pPr>
      <w:r>
        <w:rPr>
          <w:b/>
          <w:sz w:val="28"/>
        </w:rPr>
        <w:t>采购人：</w:t>
      </w:r>
      <w:r>
        <w:rPr>
          <w:b/>
          <w:sz w:val="28"/>
        </w:rPr>
        <w:t>福建省民政厅（本级）</w:t>
      </w:r>
    </w:p>
    <w:p>
      <w:pPr>
        <w:pStyle w:val="null3"/>
        <w:jc w:val="center"/>
        <w:outlineLvl w:val="2"/>
      </w:pPr>
      <w:r>
        <w:rPr>
          <w:b/>
          <w:sz w:val="28"/>
        </w:rPr>
        <w:t>代理机构：</w:t>
      </w:r>
      <w:r>
        <w:rPr>
          <w:b/>
          <w:sz w:val="28"/>
        </w:rPr>
        <w:t>汇宏项目管理有限公司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汇宏项目管理有限公司</w:t>
      </w:r>
      <w:r>
        <w:rPr/>
        <w:t xml:space="preserve"> 采用公开招标方式组织 </w:t>
      </w:r>
      <w:r>
        <w:rPr/>
        <w:t>养老机构强制性标准落实情况第三方评估</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CGXM-2023-350001-12229[2023]11577</w:t>
      </w:r>
    </w:p>
    <w:p>
      <w:pPr>
        <w:pStyle w:val="null3"/>
        <w:ind w:firstLine="480"/>
        <w:jc w:val="left"/>
        <w:outlineLvl w:val="2"/>
      </w:pPr>
      <w:r>
        <w:rPr>
          <w:b/>
          <w:sz w:val="28"/>
        </w:rPr>
        <w:t>2、项目编号</w:t>
      </w:r>
      <w:r>
        <w:rPr>
          <w:b/>
          <w:sz w:val="28"/>
        </w:rPr>
        <w:t>：</w:t>
      </w:r>
      <w:r>
        <w:rPr>
          <w:b/>
          <w:sz w:val="28"/>
        </w:rPr>
        <w:t>[350001]HHPM[GK]2023038</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8306"/>
            <w:gridSpan w:val="2"/>
          </w:tcPr>
          <w:p>
            <w:pPr>
              <w:pStyle w:val="null3"/>
              <w:jc w:val="both"/>
            </w:pPr>
            <w:r>
              <w:rPr/>
              <w:t xml:space="preserve"> 无</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福建省民政厅（本级）</w:t>
      </w:r>
    </w:p>
    <w:p>
      <w:pPr>
        <w:pStyle w:val="null3"/>
        <w:ind w:firstLine="960"/>
        <w:jc w:val="left"/>
      </w:pPr>
    </w:p>
    <w:p>
      <w:pPr>
        <w:pStyle w:val="null3"/>
        <w:jc w:val="left"/>
      </w:pPr>
    </w:p>
    <w:p>
      <w:pPr>
        <w:pStyle w:val="null3"/>
        <w:jc w:val="left"/>
      </w:pPr>
      <w:r>
        <w:rPr/>
        <w:t xml:space="preserve"> 地址： </w:t>
      </w:r>
      <w:r>
        <w:rPr/>
        <w:t>鼓东路44号</w:t>
      </w:r>
    </w:p>
    <w:p>
      <w:pPr>
        <w:pStyle w:val="null3"/>
        <w:jc w:val="left"/>
      </w:pPr>
      <w:r>
        <w:rPr/>
        <w:t xml:space="preserve"> 邮编： </w:t>
      </w:r>
      <w:r>
        <w:rPr/>
        <w:t>350000</w:t>
      </w:r>
    </w:p>
    <w:p>
      <w:pPr>
        <w:pStyle w:val="null3"/>
        <w:jc w:val="left"/>
      </w:pPr>
      <w:r>
        <w:rPr/>
        <w:t xml:space="preserve"> 联系人： </w:t>
      </w:r>
      <w:r>
        <w:rPr/>
        <w:t>俞立飏</w:t>
      </w:r>
    </w:p>
    <w:p>
      <w:pPr>
        <w:pStyle w:val="null3"/>
        <w:jc w:val="left"/>
      </w:pPr>
      <w:r>
        <w:rPr/>
        <w:t xml:space="preserve"> 联系电话： </w:t>
      </w:r>
      <w:r>
        <w:rPr/>
        <w:t>0591-87551916</w:t>
      </w:r>
    </w:p>
    <w:p>
      <w:pPr>
        <w:pStyle w:val="null3"/>
        <w:ind w:firstLine="480"/>
        <w:jc w:val="left"/>
        <w:outlineLvl w:val="2"/>
      </w:pPr>
      <w:r>
        <w:rPr>
          <w:b/>
          <w:sz w:val="28"/>
        </w:rPr>
        <w:t>12、代理机构</w:t>
      </w:r>
      <w:r>
        <w:rPr>
          <w:b/>
          <w:sz w:val="28"/>
        </w:rPr>
        <w:t>：</w:t>
      </w:r>
      <w:r>
        <w:rPr>
          <w:b/>
          <w:sz w:val="28"/>
        </w:rPr>
        <w:t>汇宏项目管理有限公司</w:t>
      </w:r>
    </w:p>
    <w:p>
      <w:pPr>
        <w:pStyle w:val="null3"/>
        <w:ind w:firstLine="960"/>
        <w:jc w:val="both"/>
      </w:pPr>
    </w:p>
    <w:p>
      <w:pPr>
        <w:pStyle w:val="null3"/>
        <w:jc w:val="both"/>
      </w:pPr>
    </w:p>
    <w:p>
      <w:pPr>
        <w:pStyle w:val="null3"/>
        <w:jc w:val="both"/>
      </w:pPr>
      <w:r>
        <w:rPr/>
        <w:t xml:space="preserve"> 地址： </w:t>
      </w:r>
      <w:r>
        <w:rPr/>
        <w:t>西洪路149号-66</w:t>
      </w:r>
    </w:p>
    <w:p>
      <w:pPr>
        <w:pStyle w:val="null3"/>
        <w:jc w:val="both"/>
      </w:pPr>
      <w:r>
        <w:rPr/>
        <w:t xml:space="preserve"> 邮编： </w:t>
      </w:r>
      <w:r>
        <w:rPr/>
        <w:t>350025</w:t>
      </w:r>
    </w:p>
    <w:p>
      <w:pPr>
        <w:pStyle w:val="null3"/>
        <w:jc w:val="both"/>
      </w:pPr>
      <w:r>
        <w:rPr/>
        <w:t xml:space="preserve"> 联系人： </w:t>
      </w:r>
      <w:r>
        <w:rPr/>
        <w:t>蒋炜灵、陈郑晰</w:t>
      </w:r>
    </w:p>
    <w:p>
      <w:pPr>
        <w:pStyle w:val="null3"/>
        <w:jc w:val="both"/>
      </w:pPr>
      <w:r>
        <w:rPr/>
        <w:t xml:space="preserve"> 联系电话： </w:t>
      </w:r>
      <w:r>
        <w:rPr/>
        <w:t>0591-83053110</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p>
            <w:pPr>
              <w:pStyle w:val="null3"/>
              <w:jc w:val="center"/>
            </w:pPr>
          </w:p>
        </w:tc>
      </w:tr>
      <w:tr>
        <w:tc>
          <w:tcPr>
            <w:tcW w:type="dxa" w:w="8306"/>
          </w:tcPr>
          <w:p>
            <w:pPr>
              <w:pStyle w:val="null3"/>
            </w:pPr>
            <w:r>
              <w:rPr/>
              <w:t xml:space="preserve">开户名称： </w:t>
            </w:r>
            <w:r>
              <w:rPr/>
              <w:t>汇宏项目管理有限公司</w:t>
            </w:r>
          </w:p>
        </w:tc>
      </w:tr>
      <w:tr>
        <w:tc>
          <w:tcPr>
            <w:tcW w:type="dxa" w:w="8306"/>
          </w:tcPr>
          <w:p>
            <w:pPr>
              <w:pStyle w:val="null3"/>
            </w:pPr>
            <w:r>
              <w:rPr/>
              <w:t>开户银行：供应商在福建省政府采购网上公开信息系统获取招标文件后，根据其提示自行选择要缴交的投标保证金托管银行。</w:t>
            </w:r>
          </w:p>
        </w:tc>
      </w:tr>
      <w:tr>
        <w:tc>
          <w:tcPr>
            <w:tcW w:type="dxa" w:w="8306"/>
          </w:tcPr>
          <w:p>
            <w:pPr>
              <w:pStyle w:val="null3"/>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t>特别提示</w:t>
            </w:r>
          </w:p>
        </w:tc>
      </w:tr>
      <w:tr>
        <w:tc>
          <w:tcPr>
            <w:tcW w:type="dxa" w:w="8306"/>
          </w:tcPr>
          <w:p>
            <w:pPr>
              <w:pStyle w:val="null3"/>
            </w:pPr>
            <w:r>
              <w:rPr/>
              <w:t>1、投标人应认真核对账户信息，将投标保证金汇入以上账户，并自行承担因汇错投标保证金而产生的一切后果。</w:t>
            </w:r>
          </w:p>
          <w:p>
            <w:pPr>
              <w:pStyle w:val="null3"/>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683,000.00</w:t>
      </w:r>
    </w:p>
    <w:p>
      <w:pPr>
        <w:pStyle w:val="null3"/>
        <w:jc w:val="left"/>
      </w:pPr>
      <w:r>
        <w:rPr/>
        <w:t>采购包最高限价（元）: 683,000.00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养老机构强制性标准落实情况第三方评估</w:t>
            </w:r>
          </w:p>
        </w:tc>
        <w:tc>
          <w:tcPr>
            <w:tcW w:type="dxa" w:w="1187"/>
          </w:tcPr>
          <w:p>
            <w:pPr>
              <w:pStyle w:val="null3"/>
              <w:jc w:val="right"/>
            </w:pPr>
            <w:r>
              <w:rPr/>
              <w:t>1.00</w:t>
            </w:r>
          </w:p>
        </w:tc>
        <w:tc>
          <w:tcPr>
            <w:tcW w:type="dxa" w:w="1187"/>
          </w:tcPr>
          <w:p>
            <w:pPr>
              <w:pStyle w:val="null3"/>
              <w:jc w:val="right"/>
            </w:pPr>
            <w:r>
              <w:rPr/>
              <w:t>683,000.00</w:t>
            </w:r>
          </w:p>
        </w:tc>
        <w:tc>
          <w:tcPr>
            <w:tcW w:type="dxa" w:w="1187"/>
          </w:tcPr>
          <w:p>
            <w:pPr>
              <w:pStyle w:val="null3"/>
              <w:jc w:val="left"/>
            </w:pPr>
            <w:r>
              <w:rPr/>
              <w:t>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p>
    <w:p>
      <w:pPr>
        <w:pStyle w:val="null3"/>
      </w:pPr>
      <w:r>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t>特别提示：本表与招标文件对应章节的内容若不一致，以本表为准。</w:t>
            </w:r>
          </w:p>
        </w:tc>
      </w:tr>
      <w:tr>
        <w:tc>
          <w:tcPr>
            <w:tcW w:type="dxa" w:w="2769"/>
          </w:tcPr>
          <w:p>
            <w:pPr>
              <w:pStyle w:val="null3"/>
            </w:pPr>
            <w:r>
              <w:rPr/>
              <w:t>序号</w:t>
            </w:r>
          </w:p>
        </w:tc>
        <w:tc>
          <w:tcPr>
            <w:tcW w:type="dxa" w:w="2769"/>
          </w:tcPr>
          <w:p>
            <w:pPr>
              <w:pStyle w:val="null3"/>
            </w:pPr>
            <w:r>
              <w:rPr/>
              <w:t>招标文件</w:t>
            </w:r>
          </w:p>
          <w:p>
            <w:pPr>
              <w:pStyle w:val="null3"/>
            </w:pPr>
          </w:p>
          <w:p>
            <w:pPr>
              <w:pStyle w:val="null3"/>
            </w:pPr>
            <w:r>
              <w:rPr/>
              <w:t xml:space="preserve"> （第三章）</w:t>
            </w:r>
          </w:p>
        </w:tc>
        <w:tc>
          <w:tcPr>
            <w:tcW w:type="dxa" w:w="2769"/>
          </w:tcPr>
          <w:p>
            <w:pPr>
              <w:pStyle w:val="null3"/>
            </w:pPr>
            <w:r>
              <w:rPr/>
              <w:t>编列内容</w:t>
            </w:r>
          </w:p>
        </w:tc>
      </w:tr>
      <w:tr>
        <w:tc>
          <w:tcPr>
            <w:tcW w:type="dxa" w:w="2769"/>
          </w:tcPr>
          <w:p>
            <w:pPr>
              <w:pStyle w:val="null3"/>
            </w:pPr>
            <w:r>
              <w:rPr/>
              <w:t>1</w:t>
            </w:r>
          </w:p>
        </w:tc>
        <w:tc>
          <w:tcPr>
            <w:tcW w:type="dxa" w:w="2769"/>
          </w:tcPr>
          <w:p>
            <w:pPr>
              <w:pStyle w:val="null3"/>
            </w:pPr>
            <w:r>
              <w:rPr/>
              <w:t>6.1</w:t>
            </w:r>
          </w:p>
        </w:tc>
        <w:tc>
          <w:tcPr>
            <w:tcW w:type="dxa" w:w="2769"/>
          </w:tcPr>
          <w:p>
            <w:pPr>
              <w:pStyle w:val="null3"/>
            </w:pPr>
            <w:r>
              <w:rPr/>
              <w:t>是否组织现场考察或召开开标前答疑会：</w:t>
            </w:r>
          </w:p>
          <w:p>
            <w:pPr>
              <w:pStyle w:val="null3"/>
            </w:pPr>
          </w:p>
          <w:p>
            <w:pPr>
              <w:pStyle w:val="null3"/>
            </w:pPr>
          </w:p>
          <w:p>
            <w:pPr>
              <w:pStyle w:val="null3"/>
            </w:pPr>
            <w:r>
              <w:rPr/>
              <w:t>采购包1：不组织</w:t>
            </w:r>
          </w:p>
        </w:tc>
      </w:tr>
      <w:tr>
        <w:tc>
          <w:tcPr>
            <w:tcW w:type="dxa" w:w="2769"/>
          </w:tcPr>
          <w:p>
            <w:pPr>
              <w:pStyle w:val="null3"/>
            </w:pPr>
            <w:r>
              <w:rPr/>
              <w:t>2</w:t>
            </w:r>
          </w:p>
        </w:tc>
        <w:tc>
          <w:tcPr>
            <w:tcW w:type="dxa" w:w="2769"/>
          </w:tcPr>
          <w:p>
            <w:pPr>
              <w:pStyle w:val="null3"/>
            </w:pPr>
            <w:r>
              <w:rPr/>
              <w:t>10.4</w:t>
            </w:r>
          </w:p>
        </w:tc>
        <w:tc>
          <w:tcPr>
            <w:tcW w:type="dxa" w:w="2769"/>
          </w:tcPr>
          <w:p>
            <w:pPr>
              <w:pStyle w:val="null3"/>
            </w:pPr>
            <w:r>
              <w:rPr/>
              <w:t>投标文件的份数：</w:t>
            </w:r>
          </w:p>
          <w:p>
            <w:pPr>
              <w:pStyle w:val="null3"/>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pPr>
            <w:r>
              <w:rPr/>
              <w:t xml:space="preserve"> （2）电子投标文件：详见投标人须知前附表2《关于电子招标投标活动的专门规定》。</w:t>
            </w:r>
          </w:p>
        </w:tc>
      </w:tr>
      <w:tr>
        <w:tc>
          <w:tcPr>
            <w:tcW w:type="dxa" w:w="2769"/>
          </w:tcPr>
          <w:p>
            <w:pPr>
              <w:pStyle w:val="null3"/>
            </w:pPr>
            <w:r>
              <w:rPr/>
              <w:t>3</w:t>
            </w:r>
          </w:p>
        </w:tc>
        <w:tc>
          <w:tcPr>
            <w:tcW w:type="dxa" w:w="2769"/>
          </w:tcPr>
          <w:p>
            <w:pPr>
              <w:pStyle w:val="null3"/>
            </w:pPr>
            <w:r>
              <w:rPr/>
              <w:t>10.7-（1）</w:t>
            </w:r>
          </w:p>
        </w:tc>
        <w:tc>
          <w:tcPr>
            <w:tcW w:type="dxa" w:w="2769"/>
          </w:tcPr>
          <w:p>
            <w:pPr>
              <w:pStyle w:val="null3"/>
            </w:pPr>
            <w:r>
              <w:rPr/>
              <w:t>是否允许中标人将本项目的非主体、非关键性工作进行分包：</w:t>
            </w:r>
          </w:p>
          <w:p>
            <w:pPr>
              <w:pStyle w:val="null3"/>
            </w:pPr>
          </w:p>
          <w:p>
            <w:pPr>
              <w:pStyle w:val="null3"/>
            </w:pPr>
          </w:p>
          <w:p>
            <w:pPr>
              <w:pStyle w:val="null3"/>
            </w:pPr>
          </w:p>
          <w:p>
            <w:pPr>
              <w:pStyle w:val="null3"/>
            </w:pPr>
            <w:r>
              <w:rPr/>
              <w:t>采购包1：不允许合同分包；</w:t>
            </w:r>
          </w:p>
        </w:tc>
      </w:tr>
      <w:tr>
        <w:tc>
          <w:tcPr>
            <w:tcW w:type="dxa" w:w="2769"/>
          </w:tcPr>
          <w:p>
            <w:pPr>
              <w:pStyle w:val="null3"/>
            </w:pPr>
            <w:r>
              <w:rPr/>
              <w:t>4</w:t>
            </w:r>
          </w:p>
        </w:tc>
        <w:tc>
          <w:tcPr>
            <w:tcW w:type="dxa" w:w="2769"/>
          </w:tcPr>
          <w:p>
            <w:pPr>
              <w:pStyle w:val="null3"/>
            </w:pPr>
            <w:r>
              <w:rPr/>
              <w:t>10.8-（1）</w:t>
            </w:r>
          </w:p>
        </w:tc>
        <w:tc>
          <w:tcPr>
            <w:tcW w:type="dxa" w:w="2769"/>
          </w:tcPr>
          <w:p>
            <w:pPr>
              <w:pStyle w:val="null3"/>
            </w:pPr>
            <w:r>
              <w:rPr/>
              <w:t xml:space="preserve">投标有效期：投标截止时间起 </w:t>
            </w:r>
            <w:r>
              <w:rPr/>
              <w:t>90</w:t>
            </w:r>
            <w:r>
              <w:rPr/>
              <w:t xml:space="preserve"> 个日历日。</w:t>
            </w:r>
          </w:p>
        </w:tc>
      </w:tr>
      <w:tr>
        <w:tc>
          <w:tcPr>
            <w:tcW w:type="dxa" w:w="2769"/>
          </w:tcPr>
          <w:p>
            <w:pPr>
              <w:pStyle w:val="null3"/>
            </w:pPr>
            <w:r>
              <w:rPr/>
              <w:t>5</w:t>
            </w:r>
          </w:p>
        </w:tc>
        <w:tc>
          <w:tcPr>
            <w:tcW w:type="dxa" w:w="2769"/>
          </w:tcPr>
          <w:p>
            <w:pPr>
              <w:pStyle w:val="null3"/>
            </w:pPr>
            <w:r>
              <w:rPr/>
              <w:t>12.1</w:t>
            </w:r>
          </w:p>
        </w:tc>
        <w:tc>
          <w:tcPr>
            <w:tcW w:type="dxa" w:w="2769"/>
          </w:tcPr>
          <w:p>
            <w:pPr>
              <w:pStyle w:val="null3"/>
            </w:pPr>
            <w:r>
              <w:rPr/>
              <w:t>确定中标候选人名单：</w:t>
            </w:r>
          </w:p>
          <w:p>
            <w:pPr>
              <w:pStyle w:val="null3"/>
            </w:pPr>
          </w:p>
          <w:p>
            <w:pPr>
              <w:pStyle w:val="null3"/>
            </w:pPr>
            <w:r>
              <w:rPr/>
              <w:t>采购包1：1名</w:t>
            </w:r>
          </w:p>
        </w:tc>
      </w:tr>
      <w:tr>
        <w:tc>
          <w:tcPr>
            <w:tcW w:type="dxa" w:w="2769"/>
          </w:tcPr>
          <w:p>
            <w:pPr>
              <w:pStyle w:val="null3"/>
            </w:pPr>
            <w:r>
              <w:rPr/>
              <w:t>6</w:t>
            </w:r>
          </w:p>
        </w:tc>
        <w:tc>
          <w:tcPr>
            <w:tcW w:type="dxa" w:w="2769"/>
          </w:tcPr>
          <w:p>
            <w:pPr>
              <w:pStyle w:val="null3"/>
            </w:pPr>
            <w:r>
              <w:rPr/>
              <w:t>12.2</w:t>
            </w:r>
          </w:p>
        </w:tc>
        <w:tc>
          <w:tcPr>
            <w:tcW w:type="dxa" w:w="2769"/>
          </w:tcPr>
          <w:p>
            <w:pPr>
              <w:pStyle w:val="null3"/>
            </w:pPr>
            <w:r>
              <w:rPr/>
              <w:t>本项目中标人的确定（以采购包为单位）：</w:t>
            </w:r>
          </w:p>
          <w:p>
            <w:pPr>
              <w:pStyle w:val="null3"/>
            </w:pPr>
            <w:r>
              <w:rPr/>
              <w:t xml:space="preserve"> （1） </w:t>
            </w:r>
            <w:r>
              <w:rPr/>
              <w:t>采购人应在政府采购招投标管理办法规定的时限内确定中标人。</w:t>
            </w:r>
          </w:p>
          <w:p>
            <w:pPr>
              <w:pStyle w:val="null3"/>
            </w:pPr>
            <w:r>
              <w:rPr/>
              <w:t xml:space="preserve"> （2）若出现中标候选人并列情形，则按照下列方式确定中标人：</w:t>
            </w:r>
          </w:p>
          <w:p>
            <w:pPr>
              <w:pStyle w:val="null3"/>
            </w:pPr>
            <w:r>
              <w:rPr/>
              <w:t xml:space="preserve"> ①招标文件规定的方式：</w:t>
            </w:r>
          </w:p>
          <w:p>
            <w:pPr>
              <w:pStyle w:val="null3"/>
            </w:pPr>
            <w:r>
              <w:rPr/>
              <w:t>无</w:t>
            </w:r>
          </w:p>
          <w:p>
            <w:pPr>
              <w:pStyle w:val="null3"/>
            </w:pPr>
            <w:r>
              <w:rPr/>
              <w:t xml:space="preserve"> ②若本款第①点规定方式为“无”，则按照下列方式确定：</w:t>
            </w:r>
          </w:p>
          <w:p>
            <w:pPr>
              <w:pStyle w:val="null3"/>
            </w:pPr>
            <w:r>
              <w:rPr/>
              <w:t>无</w:t>
            </w:r>
          </w:p>
          <w:p>
            <w:pPr>
              <w:pStyle w:val="null3"/>
            </w:pPr>
            <w:r>
              <w:rPr/>
              <w:t xml:space="preserve"> ③若本款第①、②点规定方式均为“无”，则按照下列方式确定：随机抽取。</w:t>
            </w:r>
          </w:p>
          <w:p>
            <w:pPr>
              <w:pStyle w:val="null3"/>
            </w:pPr>
            <w:r>
              <w:rPr/>
              <w:t xml:space="preserve"> （3）本项目确定的中标人家数：</w:t>
            </w:r>
          </w:p>
          <w:p>
            <w:pPr>
              <w:pStyle w:val="null3"/>
            </w:pPr>
          </w:p>
          <w:p>
            <w:pPr>
              <w:pStyle w:val="null3"/>
            </w:pPr>
            <w:r>
              <w:rPr/>
              <w:t>采购包1：1名</w:t>
            </w:r>
          </w:p>
        </w:tc>
      </w:tr>
      <w:tr>
        <w:tc>
          <w:tcPr>
            <w:tcW w:type="dxa" w:w="2769"/>
          </w:tcPr>
          <w:p>
            <w:pPr>
              <w:pStyle w:val="null3"/>
            </w:pPr>
            <w:r>
              <w:rPr/>
              <w:t>7</w:t>
            </w:r>
          </w:p>
        </w:tc>
        <w:tc>
          <w:tcPr>
            <w:tcW w:type="dxa" w:w="2769"/>
          </w:tcPr>
          <w:p>
            <w:pPr>
              <w:pStyle w:val="null3"/>
            </w:pPr>
            <w:r>
              <w:rPr/>
              <w:t>13.2</w:t>
            </w:r>
          </w:p>
        </w:tc>
        <w:tc>
          <w:tcPr>
            <w:tcW w:type="dxa" w:w="2769"/>
          </w:tcPr>
          <w:p>
            <w:pPr>
              <w:pStyle w:val="null3"/>
            </w:pPr>
            <w:r>
              <w:rPr/>
              <w:t xml:space="preserve">合同签订时限： </w:t>
            </w:r>
            <w:r>
              <w:rPr/>
              <w:t>自中标通知书发出之日起30个日历日内。</w:t>
            </w:r>
          </w:p>
        </w:tc>
      </w:tr>
      <w:tr>
        <w:tc>
          <w:tcPr>
            <w:tcW w:type="dxa" w:w="2769"/>
          </w:tcPr>
          <w:p>
            <w:pPr>
              <w:pStyle w:val="null3"/>
            </w:pPr>
            <w:r>
              <w:rPr/>
              <w:t>8</w:t>
            </w:r>
          </w:p>
        </w:tc>
        <w:tc>
          <w:tcPr>
            <w:tcW w:type="dxa" w:w="2769"/>
          </w:tcPr>
          <w:p>
            <w:pPr>
              <w:pStyle w:val="null3"/>
            </w:pPr>
            <w:r>
              <w:rPr/>
              <w:t>15.1-（2）</w:t>
            </w:r>
          </w:p>
        </w:tc>
        <w:tc>
          <w:tcPr>
            <w:tcW w:type="dxa" w:w="2769"/>
          </w:tcPr>
          <w:p>
            <w:pPr>
              <w:pStyle w:val="null3"/>
            </w:pPr>
            <w:r>
              <w:rPr/>
              <w:t>质疑函原件应采用下列方式提交：书面形式。</w:t>
            </w:r>
          </w:p>
        </w:tc>
      </w:tr>
      <w:tr>
        <w:tc>
          <w:tcPr>
            <w:tcW w:type="dxa" w:w="2769"/>
          </w:tcPr>
          <w:p>
            <w:pPr>
              <w:pStyle w:val="null3"/>
            </w:pPr>
            <w:r>
              <w:rPr/>
              <w:t>9</w:t>
            </w:r>
          </w:p>
        </w:tc>
        <w:tc>
          <w:tcPr>
            <w:tcW w:type="dxa" w:w="2769"/>
          </w:tcPr>
          <w:p>
            <w:pPr>
              <w:pStyle w:val="null3"/>
            </w:pPr>
            <w:r>
              <w:rPr/>
              <w:t>15.4</w:t>
            </w:r>
          </w:p>
        </w:tc>
        <w:tc>
          <w:tcPr>
            <w:tcW w:type="dxa" w:w="2769"/>
          </w:tcPr>
          <w:p>
            <w:pPr>
              <w:pStyle w:val="null3"/>
            </w:pPr>
            <w:r>
              <w:rPr/>
              <w:t>招标文件的质疑</w:t>
            </w:r>
          </w:p>
          <w:p>
            <w:pPr>
              <w:pStyle w:val="null3"/>
            </w:pPr>
            <w:r>
              <w:rPr/>
              <w:t xml:space="preserve"> （1）潜在投标人可在质疑时效期间内对招标文件以书面形式提出质疑。</w:t>
            </w:r>
          </w:p>
          <w:p>
            <w:pPr>
              <w:pStyle w:val="null3"/>
            </w:pPr>
            <w:r>
              <w:rPr/>
              <w:t xml:space="preserve"> （2）质疑时效期间：应在依法获取招标文件之日起7个工作日内向 </w:t>
            </w:r>
            <w:r>
              <w:rPr/>
              <w:t>汇宏项目管理有限公司</w:t>
            </w:r>
            <w:r>
              <w:rPr/>
              <w:t xml:space="preserve"> 提出，依法获取招标文件的时间以福建省政府采购网上公开信息系统记载的为准。</w:t>
            </w:r>
          </w:p>
          <w:p>
            <w:pPr>
              <w:pStyle w:val="null3"/>
            </w:pPr>
            <w:r>
              <w:rPr/>
              <w:t xml:space="preserve"> ※除上述规定外，对招标文件提出的质疑还应符合招标文件第三章第15.1条的有关规定。</w:t>
            </w:r>
          </w:p>
        </w:tc>
      </w:tr>
      <w:tr>
        <w:tc>
          <w:tcPr>
            <w:tcW w:type="dxa" w:w="2769"/>
          </w:tcPr>
          <w:p>
            <w:pPr>
              <w:pStyle w:val="null3"/>
            </w:pPr>
            <w:r>
              <w:rPr/>
              <w:t>10</w:t>
            </w:r>
          </w:p>
        </w:tc>
        <w:tc>
          <w:tcPr>
            <w:tcW w:type="dxa" w:w="2769"/>
          </w:tcPr>
          <w:p>
            <w:pPr>
              <w:pStyle w:val="null3"/>
            </w:pPr>
            <w:r>
              <w:rPr/>
              <w:t>16.1</w:t>
            </w:r>
          </w:p>
        </w:tc>
        <w:tc>
          <w:tcPr>
            <w:tcW w:type="dxa" w:w="2769"/>
          </w:tcPr>
          <w:p>
            <w:pPr>
              <w:pStyle w:val="null3"/>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pPr>
            <w:r>
              <w:rPr/>
              <w:t>11</w:t>
            </w:r>
          </w:p>
        </w:tc>
        <w:tc>
          <w:tcPr>
            <w:tcW w:type="dxa" w:w="2769"/>
          </w:tcPr>
          <w:p>
            <w:pPr>
              <w:pStyle w:val="null3"/>
            </w:pPr>
            <w:r>
              <w:rPr/>
              <w:t>18.1</w:t>
            </w:r>
          </w:p>
        </w:tc>
        <w:tc>
          <w:tcPr>
            <w:tcW w:type="dxa" w:w="2769"/>
          </w:tcPr>
          <w:p>
            <w:pPr>
              <w:pStyle w:val="null3"/>
            </w:pPr>
            <w:r>
              <w:rPr/>
              <w:t>财政部和福建省财政厅指定的政府采购信息发布媒体（以下简称：“指定媒体”）：</w:t>
            </w:r>
          </w:p>
          <w:p>
            <w:pPr>
              <w:pStyle w:val="null3"/>
            </w:pPr>
            <w:r>
              <w:rPr/>
              <w:t xml:space="preserve"> （1）中国政府采购网，网址www.ccgp.gov.cn。</w:t>
            </w:r>
          </w:p>
          <w:p>
            <w:pPr>
              <w:pStyle w:val="null3"/>
            </w:pPr>
            <w:r>
              <w:rPr/>
              <w:t xml:space="preserve"> （2）中国政府采购网福建分网（福建省政府采购网），网址zfcg.czt.fujian.gov.cn。</w:t>
            </w:r>
          </w:p>
          <w:p>
            <w:pPr>
              <w:pStyle w:val="null3"/>
            </w:pPr>
            <w:r>
              <w:rPr/>
              <w:t xml:space="preserve"> ※若出现上述指定媒体信息不一致情形，应以中国政府采购网福建分网（福建省政府采购网）发布的为准。</w:t>
            </w:r>
          </w:p>
        </w:tc>
      </w:tr>
      <w:tr>
        <w:tc>
          <w:tcPr>
            <w:tcW w:type="dxa" w:w="2769"/>
          </w:tcPr>
          <w:p>
            <w:pPr>
              <w:pStyle w:val="null3"/>
            </w:pPr>
            <w:r>
              <w:rPr/>
              <w:t>12</w:t>
            </w:r>
          </w:p>
        </w:tc>
        <w:tc>
          <w:tcPr>
            <w:tcW w:type="dxa" w:w="2769"/>
          </w:tcPr>
          <w:p>
            <w:pPr>
              <w:pStyle w:val="null3"/>
            </w:pPr>
            <w:r>
              <w:rPr/>
              <w:t>19</w:t>
            </w:r>
          </w:p>
        </w:tc>
        <w:tc>
          <w:tcPr>
            <w:tcW w:type="dxa" w:w="2769"/>
          </w:tcPr>
          <w:p>
            <w:pPr>
              <w:pStyle w:val="null3"/>
            </w:pPr>
            <w:r>
              <w:rPr/>
              <w:t>其他事项：</w:t>
            </w:r>
          </w:p>
          <w:p>
            <w:pPr>
              <w:pStyle w:val="null3"/>
            </w:pPr>
            <w:r>
              <w:rPr/>
              <w:t xml:space="preserve"> (1)本项目代理服务费：</w:t>
            </w:r>
          </w:p>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代理服务费收费标准：采购包招标代理服务费：按照中标金额，以差额定率累进法计算，具体按以下标准收取：（0元，100万元] ：1.5%。 中标人应在领取中标通知书前应先以转账或电汇付款方式一次性向招标代理机构缴纳招标代理服务费。代理服务费账户：开户名：汇宏项目管理有限公司，开户行：中信银行股份有限公司福州六一支行，账 号：7345 1101 8260 0053 018。</w:t>
            </w:r>
          </w:p>
          <w:p>
            <w:pPr>
              <w:pStyle w:val="null3"/>
            </w:pPr>
            <w:r>
              <w:rPr/>
              <w:t xml:space="preserve"> (2)其他：</w:t>
            </w:r>
          </w:p>
          <w:p>
            <w:pPr>
              <w:pStyle w:val="null3"/>
            </w:pPr>
            <w:r>
              <w:rPr/>
              <w:t>无</w:t>
            </w:r>
          </w:p>
        </w:tc>
      </w:tr>
      <w:tr>
        <w:tc>
          <w:tcPr>
            <w:tcW w:type="dxa" w:w="5538"/>
            <w:gridSpan w:val="2"/>
          </w:tcPr>
          <w:p>
            <w:pPr>
              <w:pStyle w:val="null3"/>
            </w:pPr>
            <w:r>
              <w:rPr/>
              <w:t>备注</w:t>
            </w:r>
          </w:p>
        </w:tc>
        <w:tc>
          <w:tcPr>
            <w:tcW w:type="dxa" w:w="2769"/>
          </w:tcPr>
          <w:p>
            <w:pPr>
              <w:pStyle w:val="null3"/>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t>关于电子招标投标活动的专门规定</w:t>
            </w:r>
          </w:p>
        </w:tc>
      </w:tr>
      <w:tr>
        <w:tc>
          <w:tcPr>
            <w:tcW w:type="dxa" w:w="4153"/>
          </w:tcPr>
          <w:p>
            <w:pPr>
              <w:pStyle w:val="null3"/>
            </w:pPr>
            <w:r>
              <w:rPr/>
              <w:t>序号</w:t>
            </w:r>
          </w:p>
        </w:tc>
        <w:tc>
          <w:tcPr>
            <w:tcW w:type="dxa" w:w="4153"/>
          </w:tcPr>
          <w:p>
            <w:pPr>
              <w:pStyle w:val="null3"/>
            </w:pPr>
            <w:r>
              <w:rPr/>
              <w:t>编列内容</w:t>
            </w:r>
          </w:p>
        </w:tc>
      </w:tr>
      <w:tr>
        <w:tc>
          <w:tcPr>
            <w:tcW w:type="dxa" w:w="4153"/>
          </w:tcPr>
          <w:p>
            <w:pPr>
              <w:pStyle w:val="null3"/>
            </w:pPr>
            <w:r>
              <w:rPr/>
              <w:t>1</w:t>
            </w:r>
          </w:p>
        </w:tc>
        <w:tc>
          <w:tcPr>
            <w:tcW w:type="dxa" w:w="4153"/>
          </w:tcPr>
          <w:p>
            <w:pPr>
              <w:pStyle w:val="null3"/>
            </w:pPr>
            <w:r>
              <w:rPr/>
              <w:t>（1）电子招标投标活动的专门规定适用本项目电子招标投标活动。</w:t>
            </w:r>
          </w:p>
          <w:p>
            <w:pPr>
              <w:pStyle w:val="null3"/>
            </w:pPr>
            <w:r>
              <w:rPr/>
              <w:t>（2）将招标文件</w:t>
            </w:r>
          </w:p>
          <w:p>
            <w:pPr>
              <w:pStyle w:val="null3"/>
            </w:pPr>
            <w:r>
              <w:rPr/>
              <w:t>无</w:t>
            </w:r>
            <w:r>
              <w:rPr/>
              <w:t xml:space="preserve"> 的内容修正为下列内容：</w:t>
            </w:r>
          </w:p>
          <w:p>
            <w:pPr>
              <w:pStyle w:val="null3"/>
            </w:pPr>
            <w:r>
              <w:rPr/>
              <w:t>无</w:t>
            </w:r>
            <w:r>
              <w:rPr/>
              <w:t xml:space="preserve"> 后适用本项目的电子招标投标活动。</w:t>
            </w:r>
          </w:p>
          <w:p>
            <w:pPr>
              <w:pStyle w:val="null3"/>
            </w:pPr>
            <w:r>
              <w:rPr/>
              <w:t>（3）将下列内容增列为招标文件的组成部分（以下简称：“增列内容”）适用本项目的电子招标投标活动，若增列内容与招标文件其他章节内容有冲突，应以增列内容为准：</w:t>
            </w:r>
          </w:p>
          <w:p>
            <w:pPr>
              <w:pStyle w:val="null3"/>
            </w:pPr>
            <w:r>
              <w:rPr/>
              <w:t>①电子招标投标活动的具体操作流程以福建省政府采购网上公开信息系统设定的为准。</w:t>
            </w:r>
          </w:p>
          <w:p>
            <w:pPr>
              <w:pStyle w:val="null3"/>
            </w:pPr>
            <w:r>
              <w:rPr/>
              <w:t>②关于电子投标文件：</w:t>
            </w:r>
          </w:p>
          <w:p>
            <w:pPr>
              <w:pStyle w:val="null3"/>
            </w:pPr>
            <w:r>
              <w:rPr/>
              <w:t>a.投标人应按照福建省政府采购网上公开信息系统设定的评审节点编制电子投标文件，否则资格审查小组、评标委员会将按照不利于投标人的内容进行认定。</w:t>
            </w:r>
          </w:p>
          <w:p>
            <w:pPr>
              <w:pStyle w:val="null3"/>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t>③关于证明材料或资料：</w:t>
            </w:r>
          </w:p>
          <w:p>
            <w:pPr>
              <w:pStyle w:val="null3"/>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t>④关于“全称”、“投标人代表签字”及“加盖单位公章”：</w:t>
            </w:r>
          </w:p>
          <w:p>
            <w:pPr>
              <w:pStyle w:val="null3"/>
            </w:pPr>
            <w:r>
              <w:rPr/>
              <w:t>a.在电子投标文件中，涉及“全称”和“投标人代表签字”的内容可使用打字录入方式完成。</w:t>
            </w:r>
          </w:p>
          <w:p>
            <w:pPr>
              <w:pStyle w:val="null3"/>
            </w:pPr>
            <w:r>
              <w:rPr/>
              <w:t>b.在电子投标文件中，涉及“加盖单位公章”的内容应使用投标人的CA证书完成，否则投标无效。</w:t>
            </w:r>
          </w:p>
          <w:p>
            <w:pPr>
              <w:pStyle w:val="null3"/>
            </w:pPr>
            <w:r>
              <w:rPr/>
              <w:t>c.在电子投标文件中，若投标人按照本增列内容第④点第b项规定加盖其单位公章，则出现无全称、或投标人代表未签字等情形，不视为投标无效。</w:t>
            </w:r>
          </w:p>
          <w:p>
            <w:pPr>
              <w:pStyle w:val="null3"/>
            </w:pPr>
            <w:r>
              <w:rPr/>
              <w:t>⑤关于投标人的CA证书：</w:t>
            </w:r>
          </w:p>
          <w:p>
            <w:pPr>
              <w:pStyle w:val="null3"/>
            </w:pPr>
            <w:r>
              <w:rPr/>
              <w:t>a.投标人的CA证书应在系统规定时间内使用CA证书进行电子投标文件的解密操作，逾期未解密的视为放弃投标。</w:t>
            </w:r>
          </w:p>
          <w:p>
            <w:pPr>
              <w:pStyle w:val="null3"/>
            </w:pPr>
            <w:r>
              <w:rPr/>
              <w:t>b.投标人的CA证书可采用信封（包括但不限于：信封、档案袋、文件袋等）作为外包装进行单独包装。外包装密封、不密封皆可。</w:t>
            </w:r>
          </w:p>
          <w:p>
            <w:pPr>
              <w:pStyle w:val="null3"/>
            </w:pPr>
            <w:r>
              <w:rPr/>
              <w:t>c.投标人的CA证书或外包装应标记“项目名称、项目编号、投标人的全称”等内容，以方便识别、使用。</w:t>
            </w:r>
          </w:p>
          <w:p>
            <w:pPr>
              <w:pStyle w:val="null3"/>
            </w:pPr>
            <w:r>
              <w:rPr/>
              <w:t>d.投标人的CA证书应能正常、有效使用，否则产生不利后果由投标人承担责任。</w:t>
            </w:r>
          </w:p>
          <w:p>
            <w:pPr>
              <w:pStyle w:val="null3"/>
            </w:pPr>
            <w:r>
              <w:rPr/>
              <w:t>⑥关于投标截止时间过后</w:t>
            </w:r>
          </w:p>
          <w:p>
            <w:pPr>
              <w:pStyle w:val="null3"/>
            </w:pPr>
            <w:r>
              <w:rPr/>
              <w:t>a.未按招标文件规定提交投标保证金的，其投标将按无效投标处理。</w:t>
            </w:r>
          </w:p>
          <w:p>
            <w:pPr>
              <w:pStyle w:val="null3"/>
            </w:pPr>
            <w:r>
              <w:rPr/>
              <w:t>b.有下列情形之一的，其投标无效,其保证金不予退还或通过投标保函进行索赔：</w:t>
            </w:r>
          </w:p>
          <w:p>
            <w:pPr>
              <w:pStyle w:val="null3"/>
            </w:pPr>
            <w:r>
              <w:rPr/>
              <w:t>b1不同投标人的电子投标文件具有相同内部识别码；</w:t>
            </w:r>
          </w:p>
          <w:p>
            <w:pPr>
              <w:pStyle w:val="null3"/>
            </w:pPr>
            <w:r>
              <w:rPr/>
              <w:t>b2不同投标人的投标保证金从同一单位或个人的账户转出；</w:t>
            </w:r>
          </w:p>
          <w:p>
            <w:pPr>
              <w:pStyle w:val="null3"/>
            </w:pPr>
            <w:r>
              <w:rPr/>
              <w:t>b3投标人的投标保证金同一采购包下有其他投标人提交的投标保证金；</w:t>
            </w:r>
          </w:p>
          <w:p>
            <w:pPr>
              <w:pStyle w:val="null3"/>
            </w:pPr>
            <w:r>
              <w:rPr/>
              <w:t>b4不同投标人存在串通投标的其他情形。</w:t>
            </w:r>
          </w:p>
          <w:p>
            <w:pPr>
              <w:pStyle w:val="null3"/>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t>⑧其他：</w:t>
            </w:r>
          </w:p>
          <w:p>
            <w:pPr>
              <w:pStyle w:val="null3"/>
            </w:pPr>
            <w:r>
              <w:rPr/>
              <w:t>无</w:t>
            </w:r>
          </w:p>
        </w:tc>
      </w:tr>
    </w:tbl>
    <w:p>
      <w:pPr>
        <w:pStyle w:val="null3"/>
      </w:pPr>
    </w:p>
    <w:p>
      <w:pPr>
        <w:pStyle w:val="null3"/>
      </w:pPr>
      <w:r>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汇宏项目管理有限公司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汇宏项目管理有限公司</w:t>
      </w:r>
      <w:r>
        <w:rPr/>
        <w:t xml:space="preserve"> 将在投标截止时间至少15个日历日前，在招标文件载明的指定媒体以更正公告的形式发布澄清或修改的内容。不足15个日历日的， </w:t>
      </w:r>
      <w:r>
        <w:rPr/>
        <w:t>汇宏项目管理有限公司</w:t>
      </w:r>
      <w:r>
        <w:rPr/>
        <w:t xml:space="preserve"> 将顺延投标截止时间及开标时间， </w:t>
      </w:r>
      <w:r>
        <w:rPr/>
        <w:t>汇宏项目管理有限公司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汇宏项目管理有限公司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汇宏项目管理有限公司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汇宏项目管理有限公司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汇宏项目管理有限公司</w:t>
      </w:r>
      <w:r>
        <w:rPr/>
        <w:t xml:space="preserve"> 可终止招标并发布终止公告。</w:t>
      </w:r>
    </w:p>
    <w:p>
      <w:pPr>
        <w:pStyle w:val="null3"/>
        <w:ind w:firstLine="480"/>
        <w:jc w:val="both"/>
      </w:pPr>
      <w:r>
        <w:rPr/>
        <w:t xml:space="preserve">8.2终止公告作为 </w:t>
      </w:r>
      <w:r>
        <w:rPr/>
        <w:t>汇宏项目管理有限公司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汇宏项目管理有限公司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汇宏项目管理有限公司</w:t>
      </w:r>
      <w:r>
        <w:rPr/>
        <w:t xml:space="preserve"> 可于投标有效期届满之前书面要求投标人延长投标有效期，投标人应在 </w:t>
      </w:r>
      <w:r>
        <w:rPr/>
        <w:t>汇宏项目管理有限公司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汇宏项目管理有限公司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汇宏项目管理有限公司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汇宏项目管理有限公司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汇宏项目管理有限公司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汇宏项目管理有限公司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汇宏项目管理有限公司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汇宏项目管理有限公司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汇宏项目管理有限公司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汇宏项目管理有限公司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汇宏项目管理有限公司</w:t>
      </w:r>
      <w:r>
        <w:rPr/>
        <w:t xml:space="preserve"> 提出询问， </w:t>
      </w:r>
      <w:r>
        <w:rPr/>
        <w:t>汇宏项目管理有限公司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汇宏项目管理有限公司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p>
    <w:p>
      <w:pPr>
        <w:pStyle w:val="null3"/>
      </w:pPr>
      <w:r>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汇宏项目管理有限公司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p>
    <w:p>
      <w:pPr>
        <w:pStyle w:val="null3"/>
        <w:jc w:val="both"/>
      </w:pPr>
      <w:r>
        <w:rPr/>
        <w:t>资格审查小组由3人组成，并负责具体审查事务，</w:t>
      </w:r>
      <w:r>
        <w:rPr/>
        <w:t>其中由采购人派出的采购人代表至少1人，</w:t>
      </w:r>
      <w:r>
        <w:rPr/>
        <w:t>由汇宏项目管理有限公司派出的工作人员至少1人，</w:t>
      </w:r>
      <w:r>
        <w:rPr/>
        <w:t>其余1人可为采购人代表或汇宏项目管理有限公司的工作人员。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t xml:space="preserve"> 明细</w:t>
            </w:r>
          </w:p>
        </w:tc>
      </w:tr>
      <w:tr>
        <w:tc>
          <w:tcPr>
            <w:tcW w:type="dxa" w:w="8306"/>
          </w:tcPr>
          <w:p>
            <w:pPr>
              <w:pStyle w:val="null3"/>
            </w:pPr>
            <w:r>
              <w:rPr/>
              <w:t>未按照招标文件规定提交投标函</w:t>
            </w:r>
          </w:p>
        </w:tc>
      </w:tr>
      <w:tr>
        <w:tc>
          <w:tcPr>
            <w:tcW w:type="dxa" w:w="8306"/>
          </w:tcPr>
          <w:p>
            <w:pPr>
              <w:pStyle w:val="null3"/>
            </w:pPr>
            <w:r>
              <w:rPr/>
              <w:t>未按照招标文件规定提交投标人的资格及资信文件</w:t>
            </w:r>
          </w:p>
        </w:tc>
      </w:tr>
      <w:tr>
        <w:tc>
          <w:tcPr>
            <w:tcW w:type="dxa" w:w="8306"/>
          </w:tcPr>
          <w:p>
            <w:pPr>
              <w:pStyle w:val="null3"/>
            </w:pPr>
            <w:r>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资格及资信证明部分出现报价部分的全部或部分的投标报价信息（或组成资料）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汇宏项目管理有限公司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汇宏项目管理有限公司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汇宏项目管理有限公司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p>
    <w:p>
      <w:pPr>
        <w:pStyle w:val="null3"/>
        <w:jc w:val="both"/>
      </w:pPr>
    </w:p>
    <w:p>
      <w:pPr>
        <w:pStyle w:val="null3"/>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汇宏项目管理有限公司</w:t>
      </w:r>
      <w:r>
        <w:rPr/>
        <w:t xml:space="preserve"> 统一对外发布。</w:t>
      </w:r>
    </w:p>
    <w:p>
      <w:pPr>
        <w:pStyle w:val="null3"/>
        <w:ind w:firstLine="480"/>
        <w:jc w:val="both"/>
      </w:pPr>
      <w:r>
        <w:rPr/>
        <w:t xml:space="preserve">②对 </w:t>
      </w:r>
      <w:r>
        <w:rPr/>
        <w:t>汇宏项目管理有限公司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在技术或商务评审时，出现报价部分的全部或部分的投标报价信息。</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投标文件中提供虚假或失实资料。</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投标人技术部分的实际得分少于招标文件设定的技术部分总分50%的。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不符合招标文件中“第五章 三、商务条件”的要求。</w:t>
            </w:r>
          </w:p>
        </w:tc>
      </w:tr>
      <w:tr>
        <w:tc>
          <w:tcPr>
            <w:tcW w:type="dxa" w:w="1038"/>
          </w:tcPr>
          <w:p>
            <w:pPr>
              <w:pStyle w:val="null3"/>
              <w:jc w:val="left"/>
            </w:pPr>
            <w:r>
              <w:rPr/>
              <w:t>8</w:t>
            </w:r>
          </w:p>
        </w:tc>
        <w:tc>
          <w:tcPr>
            <w:tcW w:type="dxa" w:w="3115"/>
          </w:tcPr>
          <w:p>
            <w:pPr>
              <w:pStyle w:val="null3"/>
              <w:jc w:val="left"/>
            </w:pPr>
            <w:r>
              <w:rPr/>
              <w:t>情形8</w:t>
            </w:r>
          </w:p>
        </w:tc>
        <w:tc>
          <w:tcPr>
            <w:tcW w:type="dxa" w:w="4153"/>
          </w:tcPr>
          <w:p>
            <w:pPr>
              <w:pStyle w:val="null3"/>
              <w:jc w:val="left"/>
            </w:pPr>
            <w:r>
              <w:rPr/>
              <w:t>不符合招标文件中规定的其它实质性要求的条款，或属于招标文件规定的其他无效投标条款。</w:t>
            </w:r>
          </w:p>
        </w:tc>
      </w:tr>
    </w:tbl>
    <w:p>
      <w:pPr>
        <w:pStyle w:val="null3"/>
        <w:ind w:firstLine="480"/>
        <w:jc w:val="both"/>
      </w:pPr>
      <w:r>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属于符合性审查不合格情形的。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属于符合性审查不合格情形的。</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汇宏项目管理有限公司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p>
    <w:p>
      <w:pPr>
        <w:pStyle w:val="null3"/>
        <w:jc w:val="both"/>
      </w:pPr>
    </w:p>
    <w:p>
      <w:pPr>
        <w:pStyle w:val="null3"/>
        <w:jc w:val="both"/>
      </w:pPr>
      <w:r>
        <w:rPr/>
        <w:t>采购包1：综合评分法</w:t>
      </w:r>
    </w:p>
    <w:p>
      <w:pPr>
        <w:pStyle w:val="null3"/>
        <w:ind w:firstLine="480"/>
        <w:jc w:val="both"/>
      </w:pPr>
      <w:r>
        <w:rPr/>
        <w:t>7.2评标标准</w:t>
      </w:r>
    </w:p>
    <w:p>
      <w:pPr>
        <w:pStyle w:val="null3"/>
        <w:ind w:firstLine="480"/>
        <w:jc w:val="both"/>
      </w:pPr>
    </w:p>
    <w:p>
      <w:pPr>
        <w:pStyle w:val="null3"/>
        <w:jc w:val="both"/>
      </w:pPr>
    </w:p>
    <w:p>
      <w:pPr>
        <w:pStyle w:val="null3"/>
        <w:jc w:val="both"/>
      </w:pPr>
    </w:p>
    <w:p>
      <w:pPr>
        <w:pStyle w:val="null3"/>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价格项（F1×A1）满分为13.00分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（1）小型、微型企业：根据《关于进一步加大政府采购支持中小企业力度的通知》（财库〔2022〕19号）和《福建省财政厅关于进一步加大政府采购支持中小企业力度的通知》（闽财规〔2022〕13 号）的规定，对符合本办法的小微企业所提供的货物或者服务给予其报价15%的扣除；根据《政府采购促进中小企业发展管理办法》（财库〔2020〕46号）的规定，对符合本办法的小微企业所提供的工程给予其报价3%的扣除，用扣除后的价格参加评审（在货物采购项目中，供应商提供的货物既有中小企业制造货物，也有大型企业制造货物的，不享受扣除）。中小企业参加政府采购活动，应提供《中小企业声明函》，并对声明的真实性负责。 （2）监狱企业：根据《关于政府采购支持监狱企业发展有关问题的通知》（财库〔2014〕68号）的规定，在政府采购活动中，监狱企业视同小型、微型企业，其报价享受15%（工程项目为3%）的评审价格扣除优惠；符合条件的监狱企业参加采购活动时，应提供由省级以上监狱管理局、戒毒管理局（含新疆生产建设兵团）出具的属于监狱企业的证明文件进行认定。监狱企业属于小型、微型企业的，不重复享受政策。 （3）残疾人福利性单位：根据《关于促进残疾人就业政府采购政策的通知》(财库〔2017〕141号）的规定，在政府采购活动中，残疾人福利性单位视同小型、微型企业；其报价享受15%（工程项目为3%）的评审价格扣除优惠。符合条件的残疾人福利性单位参加采购活动时，应提供《残疾人福利性单位声明函》，并对声明的真实性负责。残疾人福利性单位视同小型、微型企业。残疾人福利性单位属于小型、微型企业的，不重复享受政策。 注：招标文件中若有与本项规定不一致的以本项规定为准。采购标的对应的中小企业划分标准所属行业为其他未列明行业。</w:t>
            </w:r>
          </w:p>
        </w:tc>
      </w:tr>
    </w:tbl>
    <w:p>
      <w:pPr>
        <w:pStyle w:val="null3"/>
        <w:jc w:val="both"/>
      </w:pPr>
      <w:r>
        <w:rPr/>
        <w:t>其他：无</w:t>
      </w:r>
    </w:p>
    <w:p>
      <w:pPr>
        <w:pStyle w:val="null3"/>
        <w:jc w:val="both"/>
      </w:pPr>
      <w:r>
        <w:rPr/>
        <w:t>技术项（F2×A2）满分为74.00分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技术性能和功能</w:t>
            </w:r>
          </w:p>
        </w:tc>
        <w:tc>
          <w:tcPr>
            <w:tcW w:type="dxa" w:w="831"/>
          </w:tcPr>
          <w:p>
            <w:pPr>
              <w:pStyle w:val="null3"/>
              <w:jc w:val="right"/>
            </w:pPr>
            <w:r>
              <w:rPr/>
              <w:t>30.00</w:t>
            </w:r>
          </w:p>
        </w:tc>
        <w:tc>
          <w:tcPr>
            <w:tcW w:type="dxa" w:w="4153"/>
          </w:tcPr>
          <w:p>
            <w:pPr>
              <w:pStyle w:val="null3"/>
              <w:jc w:val="both"/>
            </w:pPr>
            <w:r>
              <w:rPr/>
              <w:t>根据各投标人对《第五章招标内容及要求》二、技术和服务要求中的各项配置要求的响应、承诺情况并结合相关佐证材料（如有要求）由评委进行评分： 完全满足招标文件技术参数要求的得30分，技术参数（共计10项）每负偏离一项扣3分，正偏离不加分，扣完为止。【偏离项数按序号最末级编号为1项】</w:t>
            </w:r>
          </w:p>
        </w:tc>
      </w:tr>
      <w:tr>
        <w:tc>
          <w:tcPr>
            <w:tcW w:type="dxa" w:w="3322"/>
          </w:tcPr>
          <w:p>
            <w:pPr>
              <w:pStyle w:val="null3"/>
              <w:jc w:val="both"/>
            </w:pPr>
            <w:r>
              <w:rPr/>
              <w:t>项目理解</w:t>
            </w:r>
          </w:p>
        </w:tc>
        <w:tc>
          <w:tcPr>
            <w:tcW w:type="dxa" w:w="831"/>
          </w:tcPr>
          <w:p>
            <w:pPr>
              <w:pStyle w:val="null3"/>
              <w:jc w:val="right"/>
            </w:pPr>
            <w:r>
              <w:rPr/>
              <w:t>3.00</w:t>
            </w:r>
          </w:p>
        </w:tc>
        <w:tc>
          <w:tcPr>
            <w:tcW w:type="dxa" w:w="4153"/>
          </w:tcPr>
          <w:p>
            <w:pPr>
              <w:pStyle w:val="null3"/>
              <w:jc w:val="both"/>
            </w:pPr>
            <w:r>
              <w:rPr/>
              <w:t>根据各投标人对本项目理解情况，由评委进行评分：方案详实、切合实际的得3分；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项目分析</w:t>
            </w:r>
          </w:p>
        </w:tc>
        <w:tc>
          <w:tcPr>
            <w:tcW w:type="dxa" w:w="831"/>
          </w:tcPr>
          <w:p>
            <w:pPr>
              <w:pStyle w:val="null3"/>
              <w:jc w:val="right"/>
            </w:pPr>
            <w:r>
              <w:rPr/>
              <w:t>3.00</w:t>
            </w:r>
          </w:p>
        </w:tc>
        <w:tc>
          <w:tcPr>
            <w:tcW w:type="dxa" w:w="4153"/>
          </w:tcPr>
          <w:p>
            <w:pPr>
              <w:pStyle w:val="null3"/>
              <w:jc w:val="both"/>
            </w:pPr>
            <w:r>
              <w:rPr/>
              <w:t>根据投标人提供的对项目目标与任务进行分析研究情况，由评委进行评分：方案详实、切合实际的得3分；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对相关政策的理解</w:t>
            </w:r>
          </w:p>
        </w:tc>
        <w:tc>
          <w:tcPr>
            <w:tcW w:type="dxa" w:w="831"/>
          </w:tcPr>
          <w:p>
            <w:pPr>
              <w:pStyle w:val="null3"/>
              <w:jc w:val="right"/>
            </w:pPr>
            <w:r>
              <w:rPr/>
              <w:t>3.00</w:t>
            </w:r>
          </w:p>
        </w:tc>
        <w:tc>
          <w:tcPr>
            <w:tcW w:type="dxa" w:w="4153"/>
          </w:tcPr>
          <w:p>
            <w:pPr>
              <w:pStyle w:val="null3"/>
              <w:jc w:val="both"/>
            </w:pPr>
            <w:r>
              <w:rPr/>
              <w:t>根据各投标人对本项目需求的内涵与政策的理解合理、有针对性、重点突出等，由评委进行评分：方案详实、切合实际的得3分； 方案部分详实或部分内容切合实际的得2分； 方案阐述简短的得1分； 其余情况不得分。</w:t>
            </w:r>
          </w:p>
        </w:tc>
      </w:tr>
      <w:tr>
        <w:tc>
          <w:tcPr>
            <w:tcW w:type="dxa" w:w="3322"/>
          </w:tcPr>
          <w:p>
            <w:pPr>
              <w:pStyle w:val="null3"/>
              <w:jc w:val="both"/>
            </w:pPr>
            <w:r>
              <w:rPr/>
              <w:t>档案管理方案</w:t>
            </w:r>
          </w:p>
        </w:tc>
        <w:tc>
          <w:tcPr>
            <w:tcW w:type="dxa" w:w="831"/>
          </w:tcPr>
          <w:p>
            <w:pPr>
              <w:pStyle w:val="null3"/>
              <w:jc w:val="right"/>
            </w:pPr>
            <w:r>
              <w:rPr/>
              <w:t>3.00</w:t>
            </w:r>
          </w:p>
        </w:tc>
        <w:tc>
          <w:tcPr>
            <w:tcW w:type="dxa" w:w="4153"/>
          </w:tcPr>
          <w:p>
            <w:pPr>
              <w:pStyle w:val="null3"/>
              <w:jc w:val="both"/>
            </w:pPr>
            <w:r>
              <w:rPr/>
              <w:t>根据投标人提供的档案管理方案，由评委进行评分：方案详实、切合实际的得3分； 方案部分详实或部分内容切合实际的得2分； 方案阐述简短的得1分； 其余情况不得分。</w:t>
            </w:r>
          </w:p>
        </w:tc>
      </w:tr>
      <w:tr>
        <w:tc>
          <w:tcPr>
            <w:tcW w:type="dxa" w:w="3322"/>
          </w:tcPr>
          <w:p>
            <w:pPr>
              <w:pStyle w:val="null3"/>
              <w:jc w:val="both"/>
            </w:pPr>
            <w:r>
              <w:rPr/>
              <w:t>保密方案</w:t>
            </w:r>
          </w:p>
        </w:tc>
        <w:tc>
          <w:tcPr>
            <w:tcW w:type="dxa" w:w="831"/>
          </w:tcPr>
          <w:p>
            <w:pPr>
              <w:pStyle w:val="null3"/>
              <w:jc w:val="right"/>
            </w:pPr>
            <w:r>
              <w:rPr/>
              <w:t>3.00</w:t>
            </w:r>
          </w:p>
        </w:tc>
        <w:tc>
          <w:tcPr>
            <w:tcW w:type="dxa" w:w="4153"/>
          </w:tcPr>
          <w:p>
            <w:pPr>
              <w:pStyle w:val="null3"/>
              <w:jc w:val="both"/>
            </w:pPr>
            <w:r>
              <w:rPr/>
              <w:t>根据投标人针对本项目提供的保密方案，由评委进行评分：方案详实、切合实际的得3分； 方案部分详实或部分内容切合实际的得2分； 方案阐述简短的得1分； 其余情况不得分。</w:t>
            </w:r>
          </w:p>
        </w:tc>
      </w:tr>
      <w:tr>
        <w:tc>
          <w:tcPr>
            <w:tcW w:type="dxa" w:w="3322"/>
          </w:tcPr>
          <w:p>
            <w:pPr>
              <w:pStyle w:val="null3"/>
              <w:jc w:val="both"/>
            </w:pPr>
            <w:r>
              <w:rPr/>
              <w:t>评估方案调查表格设计</w:t>
            </w:r>
          </w:p>
        </w:tc>
        <w:tc>
          <w:tcPr>
            <w:tcW w:type="dxa" w:w="831"/>
          </w:tcPr>
          <w:p>
            <w:pPr>
              <w:pStyle w:val="null3"/>
              <w:jc w:val="right"/>
            </w:pPr>
            <w:r>
              <w:rPr/>
              <w:t>3.00</w:t>
            </w:r>
          </w:p>
        </w:tc>
        <w:tc>
          <w:tcPr>
            <w:tcW w:type="dxa" w:w="4153"/>
          </w:tcPr>
          <w:p>
            <w:pPr>
              <w:pStyle w:val="null3"/>
              <w:jc w:val="both"/>
            </w:pPr>
            <w:r>
              <w:rPr/>
              <w:t>根据投标人实施方案中设计的养老机构强制性标准落实情况的调查表设计的合理、重点突出情况，由评委进行评分：方案详实、切合实际的得3分；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实施方案1</w:t>
            </w:r>
          </w:p>
        </w:tc>
        <w:tc>
          <w:tcPr>
            <w:tcW w:type="dxa" w:w="831"/>
          </w:tcPr>
          <w:p>
            <w:pPr>
              <w:pStyle w:val="null3"/>
              <w:jc w:val="right"/>
            </w:pPr>
            <w:r>
              <w:rPr/>
              <w:t>3.00</w:t>
            </w:r>
          </w:p>
        </w:tc>
        <w:tc>
          <w:tcPr>
            <w:tcW w:type="dxa" w:w="4153"/>
          </w:tcPr>
          <w:p>
            <w:pPr>
              <w:pStyle w:val="null3"/>
              <w:jc w:val="both"/>
            </w:pPr>
            <w:r>
              <w:rPr/>
              <w:t>根据投标人实施方案中整体内容明晰，项目关键点设置合理等情况，由评委进行评分：方案详实、切合实际的得3分；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实施方案2</w:t>
            </w:r>
          </w:p>
        </w:tc>
        <w:tc>
          <w:tcPr>
            <w:tcW w:type="dxa" w:w="831"/>
          </w:tcPr>
          <w:p>
            <w:pPr>
              <w:pStyle w:val="null3"/>
              <w:jc w:val="right"/>
            </w:pPr>
            <w:r>
              <w:rPr/>
              <w:t>3.00</w:t>
            </w:r>
          </w:p>
        </w:tc>
        <w:tc>
          <w:tcPr>
            <w:tcW w:type="dxa" w:w="4153"/>
          </w:tcPr>
          <w:p>
            <w:pPr>
              <w:pStyle w:val="null3"/>
              <w:jc w:val="both"/>
            </w:pPr>
            <w:r>
              <w:rPr/>
              <w:t>根据投标人实施方案各阶段主题突出、衔接紧密、设计合理、操作性强等情况，由评委进行评分：方案详实、切合实际的得3分；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实施方案3</w:t>
            </w:r>
          </w:p>
        </w:tc>
        <w:tc>
          <w:tcPr>
            <w:tcW w:type="dxa" w:w="831"/>
          </w:tcPr>
          <w:p>
            <w:pPr>
              <w:pStyle w:val="null3"/>
              <w:jc w:val="right"/>
            </w:pPr>
            <w:r>
              <w:rPr/>
              <w:t>3.00</w:t>
            </w:r>
          </w:p>
        </w:tc>
        <w:tc>
          <w:tcPr>
            <w:tcW w:type="dxa" w:w="4153"/>
          </w:tcPr>
          <w:p>
            <w:pPr>
              <w:pStyle w:val="null3"/>
              <w:jc w:val="both"/>
            </w:pPr>
            <w:r>
              <w:rPr/>
              <w:t>根据投标人实施方案中设计的抽样方法的合理性、科学性、操作性等情况，由评委进行评分：方案详实、切合实际的得3分；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实施方案4</w:t>
            </w:r>
          </w:p>
        </w:tc>
        <w:tc>
          <w:tcPr>
            <w:tcW w:type="dxa" w:w="831"/>
          </w:tcPr>
          <w:p>
            <w:pPr>
              <w:pStyle w:val="null3"/>
              <w:jc w:val="right"/>
            </w:pPr>
            <w:r>
              <w:rPr/>
              <w:t>3.00</w:t>
            </w:r>
          </w:p>
        </w:tc>
        <w:tc>
          <w:tcPr>
            <w:tcW w:type="dxa" w:w="4153"/>
          </w:tcPr>
          <w:p>
            <w:pPr>
              <w:pStyle w:val="null3"/>
              <w:jc w:val="both"/>
            </w:pPr>
            <w:r>
              <w:rPr/>
              <w:t>根据投标人实施方案中对评估需收集的相关材料，罗列清单内容全面、重点突出等情况，由评委进行评分：方案详实、切合实际的得3分；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实施方案5</w:t>
            </w:r>
          </w:p>
        </w:tc>
        <w:tc>
          <w:tcPr>
            <w:tcW w:type="dxa" w:w="831"/>
          </w:tcPr>
          <w:p>
            <w:pPr>
              <w:pStyle w:val="null3"/>
              <w:jc w:val="right"/>
            </w:pPr>
            <w:r>
              <w:rPr/>
              <w:t>3.00</w:t>
            </w:r>
          </w:p>
        </w:tc>
        <w:tc>
          <w:tcPr>
            <w:tcW w:type="dxa" w:w="4153"/>
          </w:tcPr>
          <w:p>
            <w:pPr>
              <w:pStyle w:val="null3"/>
              <w:jc w:val="both"/>
            </w:pPr>
            <w:r>
              <w:rPr/>
              <w:t>根据投标人实施方案中实地检查路线安排、时间安排、人员安排等部署情况，由评委进行评分：方案详实、切合实际的得3分；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人员情况1</w:t>
            </w:r>
          </w:p>
        </w:tc>
        <w:tc>
          <w:tcPr>
            <w:tcW w:type="dxa" w:w="831"/>
          </w:tcPr>
          <w:p>
            <w:pPr>
              <w:pStyle w:val="null3"/>
              <w:jc w:val="right"/>
            </w:pPr>
            <w:r>
              <w:rPr/>
              <w:t>3.00</w:t>
            </w:r>
          </w:p>
        </w:tc>
        <w:tc>
          <w:tcPr>
            <w:tcW w:type="dxa" w:w="4153"/>
          </w:tcPr>
          <w:p>
            <w:pPr>
              <w:pStyle w:val="null3"/>
              <w:jc w:val="both"/>
            </w:pPr>
            <w:r>
              <w:rPr/>
              <w:t>根据投标人所提供的项目团队中具有高级及以上职称人员参与指导编写评估报告的，每提供1人得1分，满分3分。注：提供相关证书复印件，未提供的不得分。</w:t>
            </w:r>
          </w:p>
        </w:tc>
      </w:tr>
      <w:tr>
        <w:tc>
          <w:tcPr>
            <w:tcW w:type="dxa" w:w="3322"/>
          </w:tcPr>
          <w:p>
            <w:pPr>
              <w:pStyle w:val="null3"/>
              <w:jc w:val="both"/>
            </w:pPr>
            <w:r>
              <w:rPr/>
              <w:t>人员情况2</w:t>
            </w:r>
          </w:p>
        </w:tc>
        <w:tc>
          <w:tcPr>
            <w:tcW w:type="dxa" w:w="831"/>
          </w:tcPr>
          <w:p>
            <w:pPr>
              <w:pStyle w:val="null3"/>
              <w:jc w:val="right"/>
            </w:pPr>
            <w:r>
              <w:rPr/>
              <w:t>3.00</w:t>
            </w:r>
          </w:p>
        </w:tc>
        <w:tc>
          <w:tcPr>
            <w:tcW w:type="dxa" w:w="4153"/>
          </w:tcPr>
          <w:p>
            <w:pPr>
              <w:pStyle w:val="null3"/>
              <w:jc w:val="both"/>
            </w:pPr>
            <w:r>
              <w:rPr/>
              <w:t>投标人为本项目拟配备的项目团队中，具有统计相关专业的得1分，具有三级以上养老护理员证的得1分，满分3分。注：需提供相关证书复印件，未提供的不得分。</w:t>
            </w:r>
          </w:p>
        </w:tc>
      </w:tr>
      <w:tr>
        <w:tc>
          <w:tcPr>
            <w:tcW w:type="dxa" w:w="3322"/>
          </w:tcPr>
          <w:p>
            <w:pPr>
              <w:pStyle w:val="null3"/>
              <w:jc w:val="both"/>
            </w:pPr>
            <w:r>
              <w:rPr/>
              <w:t>人员情况3</w:t>
            </w:r>
          </w:p>
        </w:tc>
        <w:tc>
          <w:tcPr>
            <w:tcW w:type="dxa" w:w="831"/>
          </w:tcPr>
          <w:p>
            <w:pPr>
              <w:pStyle w:val="null3"/>
              <w:jc w:val="right"/>
            </w:pPr>
            <w:r>
              <w:rPr/>
              <w:t>2.00</w:t>
            </w:r>
          </w:p>
        </w:tc>
        <w:tc>
          <w:tcPr>
            <w:tcW w:type="dxa" w:w="4153"/>
          </w:tcPr>
          <w:p>
            <w:pPr>
              <w:pStyle w:val="null3"/>
              <w:jc w:val="both"/>
            </w:pPr>
            <w:r>
              <w:rPr/>
              <w:t>投标人拟本项目的团队人员中有参与草拟、制定养老服务相关的国家标准、地方标准的或担任养老服务相关的国家标准、地方标准的审查委员会专家的得2分。注：需提供相关证明材料，否则不得分。</w:t>
            </w:r>
          </w:p>
        </w:tc>
      </w:tr>
      <w:tr>
        <w:tc>
          <w:tcPr>
            <w:tcW w:type="dxa" w:w="3322"/>
          </w:tcPr>
          <w:p>
            <w:pPr>
              <w:pStyle w:val="null3"/>
              <w:jc w:val="both"/>
            </w:pPr>
            <w:r>
              <w:rPr/>
              <w:t>应急方案</w:t>
            </w:r>
          </w:p>
        </w:tc>
        <w:tc>
          <w:tcPr>
            <w:tcW w:type="dxa" w:w="831"/>
          </w:tcPr>
          <w:p>
            <w:pPr>
              <w:pStyle w:val="null3"/>
              <w:jc w:val="right"/>
            </w:pPr>
            <w:r>
              <w:rPr/>
              <w:t>3.00</w:t>
            </w:r>
          </w:p>
        </w:tc>
        <w:tc>
          <w:tcPr>
            <w:tcW w:type="dxa" w:w="4153"/>
          </w:tcPr>
          <w:p>
            <w:pPr>
              <w:pStyle w:val="null3"/>
              <w:jc w:val="both"/>
            </w:pPr>
            <w:r>
              <w:rPr/>
              <w:t>根据投标人针对本项目提供的应急方案，由评委进行评分：方案详实、切合实际的得3分； 方案部分详实或部分内容切合实际的得2分； 方案阐述简短的得1分； 其余情况不得分。</w:t>
            </w:r>
          </w:p>
        </w:tc>
      </w:tr>
    </w:tbl>
    <w:p>
      <w:pPr>
        <w:pStyle w:val="null3"/>
        <w:jc w:val="both"/>
      </w:pPr>
      <w:r>
        <w:rPr/>
        <w:t>商务项（F3×A3）满分为13.00分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业绩</w:t>
            </w:r>
          </w:p>
        </w:tc>
        <w:tc>
          <w:tcPr>
            <w:tcW w:type="dxa" w:w="831"/>
          </w:tcPr>
          <w:p>
            <w:pPr>
              <w:pStyle w:val="null3"/>
              <w:jc w:val="right"/>
            </w:pPr>
            <w:r>
              <w:rPr/>
              <w:t>2.00</w:t>
            </w:r>
          </w:p>
        </w:tc>
        <w:tc>
          <w:tcPr>
            <w:tcW w:type="dxa" w:w="4153"/>
          </w:tcPr>
          <w:p>
            <w:pPr>
              <w:pStyle w:val="null3"/>
              <w:jc w:val="both"/>
            </w:pPr>
            <w:r>
              <w:rPr/>
              <w:t>根据投标人所提供自2020年01月01日起至本次投标截止日期止（日期以合同签订时间为准）由投标人所完成的与本次投标同类业绩情况，由评委进行评分：每提供1份完整合格的业绩项目得1分，满分2分。 注：须提供中标（成交）公告（提供相关网站中标公告的下载网页并注明网址）、中标（成交）通知书复印件、采购合同文本复印件，以及能够证明该业绩项目已经采购人验收合格的相关证明文件复印件，未同时提供以上各项证明材料的不得分。</w:t>
            </w:r>
          </w:p>
        </w:tc>
      </w:tr>
      <w:tr>
        <w:tc>
          <w:tcPr>
            <w:tcW w:type="dxa" w:w="3322"/>
          </w:tcPr>
          <w:p>
            <w:pPr>
              <w:pStyle w:val="null3"/>
              <w:jc w:val="both"/>
            </w:pPr>
            <w:r>
              <w:rPr/>
              <w:t>项目团队</w:t>
            </w:r>
          </w:p>
        </w:tc>
        <w:tc>
          <w:tcPr>
            <w:tcW w:type="dxa" w:w="831"/>
          </w:tcPr>
          <w:p>
            <w:pPr>
              <w:pStyle w:val="null3"/>
              <w:jc w:val="right"/>
            </w:pPr>
            <w:r>
              <w:rPr/>
              <w:t>3.00</w:t>
            </w:r>
          </w:p>
        </w:tc>
        <w:tc>
          <w:tcPr>
            <w:tcW w:type="dxa" w:w="4153"/>
          </w:tcPr>
          <w:p>
            <w:pPr>
              <w:pStyle w:val="null3"/>
              <w:jc w:val="both"/>
            </w:pPr>
            <w:r>
              <w:rPr/>
              <w:t>投标人为本项目拟配备的项目负责人具有与本项目类似的相关项目经验的，每提供一项的1分，满分3分。注：需提供相关证明材料。</w:t>
            </w:r>
          </w:p>
        </w:tc>
      </w:tr>
      <w:tr>
        <w:tc>
          <w:tcPr>
            <w:tcW w:type="dxa" w:w="3322"/>
          </w:tcPr>
          <w:p>
            <w:pPr>
              <w:pStyle w:val="null3"/>
              <w:jc w:val="both"/>
            </w:pPr>
            <w:r>
              <w:rPr/>
              <w:t>综合实力</w:t>
            </w:r>
          </w:p>
        </w:tc>
        <w:tc>
          <w:tcPr>
            <w:tcW w:type="dxa" w:w="831"/>
          </w:tcPr>
          <w:p>
            <w:pPr>
              <w:pStyle w:val="null3"/>
              <w:jc w:val="right"/>
            </w:pPr>
            <w:r>
              <w:rPr/>
              <w:t>2.00</w:t>
            </w:r>
          </w:p>
        </w:tc>
        <w:tc>
          <w:tcPr>
            <w:tcW w:type="dxa" w:w="4153"/>
          </w:tcPr>
          <w:p>
            <w:pPr>
              <w:pStyle w:val="null3"/>
              <w:jc w:val="both"/>
            </w:pPr>
            <w:r>
              <w:rPr/>
              <w:t>投标人所提供的养老服务评估软件具有受众反馈情况、设备使用情况、服务量化程度等评估功能的，每具备一个功能得1分，满分2分。注：需提供功能截图进行佐证，否则不得分。</w:t>
            </w:r>
          </w:p>
        </w:tc>
      </w:tr>
      <w:tr>
        <w:tc>
          <w:tcPr>
            <w:tcW w:type="dxa" w:w="3322"/>
          </w:tcPr>
          <w:p>
            <w:pPr>
              <w:pStyle w:val="null3"/>
              <w:jc w:val="both"/>
            </w:pPr>
            <w:r>
              <w:rPr/>
              <w:t>服务响应时间</w:t>
            </w:r>
          </w:p>
        </w:tc>
        <w:tc>
          <w:tcPr>
            <w:tcW w:type="dxa" w:w="831"/>
          </w:tcPr>
          <w:p>
            <w:pPr>
              <w:pStyle w:val="null3"/>
              <w:jc w:val="right"/>
            </w:pPr>
            <w:r>
              <w:rPr/>
              <w:t>3.00</w:t>
            </w:r>
          </w:p>
        </w:tc>
        <w:tc>
          <w:tcPr>
            <w:tcW w:type="dxa" w:w="4153"/>
          </w:tcPr>
          <w:p>
            <w:pPr>
              <w:pStyle w:val="null3"/>
              <w:jc w:val="both"/>
            </w:pPr>
            <w:r>
              <w:rPr/>
              <w:t>投标人能够及时响应采购人需求，根据接到采购人通知到达指定服务地点的时间进行评分：到达时间＜30分钟的得3分，30分钟≤到达时间＜1小时的得2分， 1小时≤到达时间≤1.5小时得1分。注：须提供服务响应时间承诺函（格式自拟），否则不得分。</w:t>
            </w:r>
          </w:p>
        </w:tc>
      </w:tr>
      <w:tr>
        <w:tc>
          <w:tcPr>
            <w:tcW w:type="dxa" w:w="3322"/>
          </w:tcPr>
          <w:p>
            <w:pPr>
              <w:pStyle w:val="null3"/>
              <w:jc w:val="both"/>
            </w:pPr>
            <w:r>
              <w:rPr/>
              <w:t>团队人员服务承诺</w:t>
            </w:r>
          </w:p>
        </w:tc>
        <w:tc>
          <w:tcPr>
            <w:tcW w:type="dxa" w:w="831"/>
          </w:tcPr>
          <w:p>
            <w:pPr>
              <w:pStyle w:val="null3"/>
              <w:jc w:val="right"/>
            </w:pPr>
            <w:r>
              <w:rPr/>
              <w:t>3.00</w:t>
            </w:r>
          </w:p>
        </w:tc>
        <w:tc>
          <w:tcPr>
            <w:tcW w:type="dxa" w:w="4153"/>
          </w:tcPr>
          <w:p>
            <w:pPr>
              <w:pStyle w:val="null3"/>
              <w:jc w:val="both"/>
            </w:pPr>
            <w:r>
              <w:rPr/>
              <w:t>根据投标人承诺中标后在项目实施期间，项目团队人员能够按采购人要求灵活调派且不得更换的得3分。注：需提供承诺函（格式自拟），否则不得分。</w:t>
            </w:r>
          </w:p>
        </w:tc>
      </w:tr>
    </w:tbl>
    <w:p>
      <w:pPr>
        <w:pStyle w:val="null3"/>
        <w:jc w:val="both"/>
      </w:pPr>
      <w:r>
        <w:rPr/>
        <w:t>加分项（F4×A4）</w:t>
      </w:r>
    </w:p>
    <w:p>
      <w:pPr>
        <w:pStyle w:val="null3"/>
        <w:jc w:val="both"/>
      </w:pPr>
      <w:r>
        <w:rPr/>
        <w:t>优先类节能产品、环境标志产品：无</w:t>
      </w:r>
    </w:p>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p>
    <w:p>
      <w:pPr>
        <w:pStyle w:val="null3"/>
        <w:jc w:val="both"/>
      </w:pPr>
      <w:r>
        <w:rPr/>
        <w:t>无</w:t>
      </w:r>
    </w:p>
    <w:p>
      <w:pPr>
        <w:pStyle w:val="null3"/>
      </w:pPr>
    </w:p>
    <w:p>
      <w:pPr>
        <w:pStyle w:val="null3"/>
      </w:pPr>
      <w:r>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2"/>
        <w:jc w:val="left"/>
      </w:pPr>
      <w:r>
        <w:rPr>
          <w:rFonts w:ascii="宋体" w:hAnsi="宋体" w:cs="宋体" w:eastAsia="宋体"/>
          <w:sz w:val="24"/>
          <w:shd w:fill="FFFFFF" w:val="clear"/>
        </w:rPr>
        <w:t>根据《养老机构管理办法》（民政部令第</w:t>
      </w:r>
      <w:r>
        <w:rPr>
          <w:rFonts w:ascii="宋体" w:hAnsi="宋体" w:cs="宋体" w:eastAsia="宋体"/>
          <w:sz w:val="24"/>
          <w:shd w:fill="FFFFFF" w:val="clear"/>
        </w:rPr>
        <w:t>66号）第四条第一款作出规定，“养老机构应当按照建筑、消防、食品安全、医疗卫生、特种设备等法律、法规和强制性标准开展服务活动”，并于第四十六条将“未按照有关强制性国家标准提供服务的”作为处罚情形之一。</w:t>
      </w:r>
    </w:p>
    <w:p>
      <w:pPr>
        <w:pStyle w:val="null3"/>
        <w:ind w:firstLine="482"/>
        <w:jc w:val="left"/>
      </w:pPr>
      <w:r>
        <w:rPr>
          <w:rFonts w:ascii="宋体" w:hAnsi="宋体" w:cs="宋体" w:eastAsia="宋体"/>
          <w:sz w:val="24"/>
          <w:shd w:fill="FFFFFF" w:val="clear"/>
        </w:rPr>
        <w:t>为贯彻落实《</w:t>
      </w:r>
      <w:r>
        <w:rPr>
          <w:rFonts w:ascii="宋体" w:hAnsi="宋体" w:cs="宋体" w:eastAsia="宋体"/>
          <w:sz w:val="24"/>
          <w:shd w:fill="FFFFFF" w:val="clear"/>
        </w:rPr>
        <w:t>“十四五”国家老龄事业发展和养老服务体系规划》，开展第三方评估，推动《养老机构服务安全基本规范》（GB 38600-2019）国家强制性标准贯标达标工作，促进养老服务标准化建设。</w:t>
      </w:r>
    </w:p>
    <w:p>
      <w:pPr>
        <w:pStyle w:val="null3"/>
        <w:jc w:val="both"/>
        <w:outlineLvl w:val="2"/>
      </w:pPr>
      <w:r>
        <w:rPr>
          <w:b/>
          <w:sz w:val="28"/>
        </w:rPr>
        <w:t>二、技术和服务要求（以“★”标示的内容为不允许负偏离的实质性要求）</w:t>
      </w:r>
    </w:p>
    <w:p>
      <w:pPr>
        <w:pStyle w:val="null3"/>
        <w:jc w:val="left"/>
      </w:pPr>
    </w:p>
    <w:p>
      <w:pPr>
        <w:pStyle w:val="null3"/>
      </w:pPr>
    </w:p>
    <w:p>
      <w:pPr>
        <w:pStyle w:val="null3"/>
        <w:jc w:val="left"/>
      </w:pPr>
    </w:p>
    <w:p>
      <w:pPr>
        <w:pStyle w:val="null3"/>
        <w:jc w:val="left"/>
      </w:pPr>
      <w:r>
        <w:rPr>
          <w:rFonts w:ascii="宋体" w:hAnsi="宋体" w:cs="宋体" w:eastAsia="宋体"/>
          <w:sz w:val="24"/>
          <w:shd w:fill="FFFFFF" w:val="clear"/>
        </w:rPr>
        <w:t>1、主要内容:对照《养老机构服务安全基本规范》（GB 38600-2019）,对全省养老机贯标达标情况进行评估。</w:t>
      </w:r>
    </w:p>
    <w:p>
      <w:pPr>
        <w:pStyle w:val="null3"/>
        <w:jc w:val="left"/>
      </w:pPr>
      <w:r>
        <w:rPr>
          <w:rFonts w:ascii="宋体" w:hAnsi="宋体" w:cs="宋体" w:eastAsia="宋体"/>
          <w:sz w:val="24"/>
          <w:shd w:fill="FFFFFF" w:val="clear"/>
        </w:rPr>
        <w:t>2、评估依据：《养老机构服务安全基本规范》（GB 38600-2019）</w:t>
      </w:r>
    </w:p>
    <w:p>
      <w:pPr>
        <w:pStyle w:val="null3"/>
        <w:jc w:val="left"/>
      </w:pPr>
      <w:r>
        <w:rPr>
          <w:rFonts w:ascii="宋体" w:hAnsi="宋体" w:cs="宋体" w:eastAsia="宋体"/>
          <w:sz w:val="24"/>
          <w:shd w:fill="FFFFFF" w:val="clear"/>
        </w:rPr>
        <w:t>3、评估方式：采用实地评估的方式，第三方评估机构组织评估人员对照评估调查表进行逐一检查，结合各地民政部门日常工作调研、专项督查、抽查等检查记录，发现问题及时研判并如实记录。</w:t>
      </w:r>
    </w:p>
    <w:p>
      <w:pPr>
        <w:pStyle w:val="null3"/>
        <w:jc w:val="left"/>
      </w:pPr>
      <w:r>
        <w:rPr>
          <w:rFonts w:ascii="宋体" w:hAnsi="宋体" w:cs="宋体" w:eastAsia="宋体"/>
          <w:sz w:val="24"/>
          <w:shd w:fill="FFFFFF" w:val="clear"/>
        </w:rPr>
        <w:t>4、评估范围：一是对全省在运营且未参加2022</w:t>
      </w:r>
      <w:r>
        <w:rPr>
          <w:rFonts w:ascii="宋体" w:hAnsi="宋体" w:cs="宋体" w:eastAsia="宋体"/>
          <w:sz w:val="24"/>
          <w:shd w:fill="FFFFFF" w:val="clear"/>
        </w:rPr>
        <w:t>年度</w:t>
      </w:r>
      <w:r>
        <w:rPr>
          <w:rFonts w:ascii="宋体" w:hAnsi="宋体" w:cs="宋体" w:eastAsia="宋体"/>
          <w:sz w:val="24"/>
          <w:shd w:fill="FFFFFF" w:val="clear"/>
        </w:rPr>
        <w:t>评估的养老</w:t>
      </w:r>
      <w:r>
        <w:rPr>
          <w:rFonts w:ascii="宋体" w:hAnsi="宋体" w:cs="宋体" w:eastAsia="宋体"/>
          <w:sz w:val="24"/>
          <w:shd w:fill="FFFFFF" w:val="clear"/>
        </w:rPr>
        <w:t>机构</w:t>
      </w:r>
      <w:r>
        <w:rPr>
          <w:rFonts w:ascii="宋体" w:hAnsi="宋体" w:cs="宋体" w:eastAsia="宋体"/>
          <w:sz w:val="24"/>
          <w:shd w:fill="FFFFFF" w:val="clear"/>
        </w:rPr>
        <w:t>贯标达标情况进行评估</w:t>
      </w:r>
      <w:r>
        <w:rPr>
          <w:rFonts w:ascii="宋体" w:hAnsi="宋体" w:cs="宋体" w:eastAsia="宋体"/>
          <w:sz w:val="24"/>
          <w:shd w:fill="FFFFFF" w:val="clear"/>
        </w:rPr>
        <w:t>(全省约633家，最终以采购人确定的实际数量为准)</w:t>
      </w:r>
      <w:r>
        <w:rPr>
          <w:rFonts w:ascii="宋体" w:hAnsi="宋体" w:cs="宋体" w:eastAsia="宋体"/>
          <w:sz w:val="24"/>
          <w:shd w:fill="FFFFFF" w:val="clear"/>
        </w:rPr>
        <w:t>；二是对</w:t>
      </w:r>
      <w:r>
        <w:rPr>
          <w:rFonts w:ascii="宋体" w:hAnsi="宋体" w:cs="宋体" w:eastAsia="宋体"/>
          <w:sz w:val="24"/>
          <w:shd w:fill="FFFFFF" w:val="clear"/>
        </w:rPr>
        <w:t>2022</w:t>
      </w:r>
      <w:r>
        <w:rPr>
          <w:rFonts w:ascii="宋体" w:hAnsi="宋体" w:cs="宋体" w:eastAsia="宋体"/>
          <w:sz w:val="24"/>
          <w:shd w:fill="FFFFFF" w:val="clear"/>
        </w:rPr>
        <w:t>年度</w:t>
      </w:r>
      <w:r>
        <w:rPr>
          <w:rFonts w:ascii="宋体" w:hAnsi="宋体" w:cs="宋体" w:eastAsia="宋体"/>
          <w:sz w:val="24"/>
          <w:shd w:fill="FFFFFF" w:val="clear"/>
        </w:rPr>
        <w:t>已评估的养老机构</w:t>
      </w:r>
      <w:r>
        <w:rPr>
          <w:rFonts w:ascii="宋体" w:hAnsi="宋体" w:cs="宋体" w:eastAsia="宋体"/>
          <w:sz w:val="24"/>
          <w:shd w:fill="FFFFFF" w:val="clear"/>
        </w:rPr>
        <w:t>，</w:t>
      </w:r>
      <w:r>
        <w:rPr>
          <w:rFonts w:ascii="宋体" w:hAnsi="宋体" w:cs="宋体" w:eastAsia="宋体"/>
          <w:sz w:val="24"/>
          <w:shd w:fill="FFFFFF" w:val="clear"/>
        </w:rPr>
        <w:t>随机抽取</w:t>
      </w:r>
      <w:r>
        <w:rPr>
          <w:rFonts w:ascii="宋体" w:hAnsi="宋体" w:cs="宋体" w:eastAsia="宋体"/>
          <w:sz w:val="24"/>
          <w:shd w:fill="FFFFFF" w:val="clear"/>
        </w:rPr>
        <w:t>50家对贯标的连续性和时效性进行回头看。</w:t>
      </w:r>
    </w:p>
    <w:p>
      <w:pPr>
        <w:pStyle w:val="null3"/>
        <w:jc w:val="left"/>
      </w:pPr>
      <w:r>
        <w:rPr>
          <w:rFonts w:ascii="宋体" w:hAnsi="宋体" w:cs="宋体" w:eastAsia="宋体"/>
          <w:sz w:val="24"/>
          <w:shd w:fill="FFFFFF" w:val="clear"/>
        </w:rPr>
        <w:t>5、目标成果：对实地评估的项目，要对照《养老机构服务安全基本规范》（GB 38600-2019），编制统一的评定指标和评分表，建立评估档案，逐项填写评分表，得出评估结论。</w:t>
      </w:r>
    </w:p>
    <w:p>
      <w:pPr>
        <w:pStyle w:val="null3"/>
        <w:jc w:val="left"/>
      </w:pPr>
      <w:r>
        <w:rPr>
          <w:rFonts w:ascii="宋体" w:hAnsi="宋体" w:cs="宋体" w:eastAsia="宋体"/>
          <w:sz w:val="24"/>
          <w:shd w:fill="FFFFFF" w:val="clear"/>
        </w:rPr>
        <w:t>6、评估要求一：第三方机构需依据工作要求制定评定项目实施方案，包括实施目标、评定标准、评定流程、进度安排、资金使用情况等。经省民政厅审核同意后实施。</w:t>
      </w:r>
    </w:p>
    <w:p>
      <w:pPr>
        <w:pStyle w:val="null3"/>
        <w:jc w:val="left"/>
      </w:pPr>
      <w:r>
        <w:rPr>
          <w:rFonts w:ascii="宋体" w:hAnsi="宋体" w:cs="宋体" w:eastAsia="宋体"/>
          <w:sz w:val="24"/>
          <w:shd w:fill="FFFFFF" w:val="clear"/>
        </w:rPr>
        <w:t>7、评估要求二：第三方评估机构应细化评估指标和评审细则，根据实施方案开展评估的具体措施、方法、程序、进度，征得委托方同意后对评估人员进行统一培训；组成评估组按照规范的方法和程序，开展独立、客观专业的评估工作，形成综合评估结果，并告知评估委托方。</w:t>
      </w:r>
    </w:p>
    <w:p>
      <w:pPr>
        <w:pStyle w:val="null3"/>
        <w:jc w:val="left"/>
      </w:pPr>
      <w:r>
        <w:rPr>
          <w:rFonts w:ascii="宋体" w:hAnsi="宋体" w:cs="宋体" w:eastAsia="宋体"/>
          <w:sz w:val="24"/>
          <w:shd w:fill="FFFFFF" w:val="clear"/>
        </w:rPr>
        <w:t>8、其他要求：</w:t>
      </w:r>
    </w:p>
    <w:p>
      <w:pPr>
        <w:pStyle w:val="null3"/>
        <w:jc w:val="left"/>
      </w:pPr>
      <w:r>
        <w:rPr>
          <w:rFonts w:ascii="宋体" w:hAnsi="宋体" w:cs="宋体" w:eastAsia="宋体"/>
          <w:sz w:val="24"/>
          <w:shd w:fill="FFFFFF" w:val="clear"/>
        </w:rPr>
        <w:t>（</w:t>
      </w:r>
      <w:r>
        <w:rPr>
          <w:rFonts w:ascii="宋体" w:hAnsi="宋体" w:cs="宋体" w:eastAsia="宋体"/>
          <w:sz w:val="24"/>
          <w:shd w:fill="FFFFFF" w:val="clear"/>
        </w:rPr>
        <w:t>1）投标人应配备专业的</w:t>
      </w:r>
      <w:r>
        <w:rPr>
          <w:rFonts w:ascii="宋体" w:hAnsi="宋体" w:cs="宋体" w:eastAsia="宋体"/>
          <w:sz w:val="24"/>
          <w:shd w:fill="FFFFFF" w:val="clear"/>
        </w:rPr>
        <w:t>服务</w:t>
      </w:r>
      <w:r>
        <w:rPr>
          <w:rFonts w:ascii="宋体" w:hAnsi="宋体" w:cs="宋体" w:eastAsia="宋体"/>
          <w:sz w:val="24"/>
          <w:shd w:fill="FFFFFF" w:val="clear"/>
        </w:rPr>
        <w:t>团队，包括但不限于</w:t>
      </w:r>
      <w:r>
        <w:rPr>
          <w:rFonts w:ascii="宋体" w:hAnsi="宋体" w:cs="宋体" w:eastAsia="宋体"/>
          <w:sz w:val="24"/>
          <w:shd w:fill="FFFFFF" w:val="clear"/>
        </w:rPr>
        <w:t>养老护理员、统计员</w:t>
      </w:r>
      <w:r>
        <w:rPr>
          <w:rFonts w:ascii="宋体" w:hAnsi="宋体" w:cs="宋体" w:eastAsia="宋体"/>
          <w:sz w:val="24"/>
          <w:shd w:fill="FFFFFF" w:val="clear"/>
        </w:rPr>
        <w:t>等</w:t>
      </w:r>
      <w:r>
        <w:rPr>
          <w:rFonts w:ascii="宋体" w:hAnsi="宋体" w:cs="宋体" w:eastAsia="宋体"/>
          <w:sz w:val="24"/>
          <w:shd w:fill="FFFFFF" w:val="clear"/>
        </w:rPr>
        <w:t>。</w:t>
      </w:r>
    </w:p>
    <w:p>
      <w:pPr>
        <w:pStyle w:val="null3"/>
        <w:jc w:val="left"/>
      </w:pPr>
      <w:r>
        <w:rPr>
          <w:rFonts w:ascii="宋体" w:hAnsi="宋体" w:cs="宋体" w:eastAsia="宋体"/>
          <w:sz w:val="24"/>
          <w:shd w:fill="FFFFFF" w:val="clear"/>
        </w:rPr>
        <w:t>（</w:t>
      </w:r>
      <w:r>
        <w:rPr>
          <w:rFonts w:ascii="宋体" w:hAnsi="宋体" w:cs="宋体" w:eastAsia="宋体"/>
          <w:sz w:val="24"/>
          <w:shd w:fill="FFFFFF" w:val="clear"/>
        </w:rPr>
        <w:t>2）投标人应配有评估系统及软件。</w:t>
      </w:r>
    </w:p>
    <w:p>
      <w:pPr>
        <w:pStyle w:val="null3"/>
        <w:jc w:val="left"/>
      </w:pPr>
      <w:r>
        <w:rPr>
          <w:rFonts w:ascii="宋体" w:hAnsi="宋体" w:cs="宋体" w:eastAsia="宋体"/>
          <w:sz w:val="24"/>
          <w:shd w:fill="FFFFFF" w:val="clear"/>
        </w:rPr>
        <w:t>（</w:t>
      </w:r>
      <w:r>
        <w:rPr>
          <w:rFonts w:ascii="宋体" w:hAnsi="宋体" w:cs="宋体" w:eastAsia="宋体"/>
          <w:sz w:val="24"/>
          <w:shd w:fill="FFFFFF" w:val="clear"/>
        </w:rPr>
        <w:t>3</w:t>
      </w:r>
      <w:r>
        <w:rPr>
          <w:rFonts w:ascii="宋体" w:hAnsi="宋体" w:cs="宋体" w:eastAsia="宋体"/>
          <w:sz w:val="24"/>
          <w:shd w:fill="FFFFFF" w:val="clear"/>
        </w:rPr>
        <w:t>）投标人应对评估的数据、成果等内容进行保密。</w:t>
      </w:r>
    </w:p>
    <w:p>
      <w:pPr>
        <w:pStyle w:val="null3"/>
        <w:jc w:val="left"/>
      </w:pPr>
    </w:p>
    <w:p>
      <w:pPr>
        <w:pStyle w:val="null3"/>
        <w:jc w:val="both"/>
        <w:outlineLvl w:val="2"/>
      </w:pPr>
      <w:r>
        <w:rPr>
          <w:b/>
          <w:sz w:val="28"/>
        </w:rPr>
        <w:t>三、商务要求（以“★”标示的内容为不允许负偏离的实质性要求）</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福建省福州市鼓楼区鼓东路44号</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自合同签订之日起90日</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签订合同后，提供符合采购文件参数要求的服务，按采购文件及合同规定进行验收</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1、期次1，说明：按《养老机构服务安全基本规范》（GB 38600-2019）标准提交评估结论，并通过采购人验收。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1、合同签订后，达到付款条件起30日内，支付合同总金额的50.00%</w:t>
            </w:r>
          </w:p>
          <w:p>
            <w:pPr>
              <w:pStyle w:val="null3"/>
              <w:jc w:val="left"/>
            </w:pPr>
            <w:r>
              <w:rPr/>
              <w:t>2、评估结论提交并通过验收后，达到付款条件起30日内，支付合同总金额的50.00%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交货时间补充说明：评估周期：合同签订后3个月内完成所有调查评估工作，2023年12月31日前须完成至少300家养老机构的评估工作。</w:t>
            </w:r>
          </w:p>
        </w:tc>
      </w:tr>
    </w:tbl>
    <w:p>
      <w:pPr>
        <w:pStyle w:val="null3"/>
        <w:jc w:val="left"/>
      </w:pPr>
      <w:r>
        <w:rPr/>
        <w:t>其他商务要求</w:t>
      </w:r>
    </w:p>
    <w:p>
      <w:pPr>
        <w:pStyle w:val="null3"/>
        <w:ind w:firstLine="480"/>
        <w:jc w:val="left"/>
      </w:pPr>
    </w:p>
    <w:p>
      <w:pPr>
        <w:pStyle w:val="null3"/>
      </w:pPr>
    </w:p>
    <w:p>
      <w:pPr>
        <w:pStyle w:val="null3"/>
        <w:ind w:firstLine="480"/>
        <w:jc w:val="both"/>
      </w:pPr>
      <w:r>
        <w:rPr>
          <w:rFonts w:ascii="宋体" w:hAnsi="宋体" w:cs="宋体" w:eastAsia="宋体"/>
          <w:sz w:val="24"/>
        </w:rPr>
        <w:t>★8、违约责任</w:t>
      </w:r>
    </w:p>
    <w:p>
      <w:pPr>
        <w:pStyle w:val="null3"/>
        <w:ind w:firstLine="480"/>
        <w:jc w:val="both"/>
      </w:pPr>
      <w:r>
        <w:rPr>
          <w:rFonts w:ascii="宋体" w:hAnsi="宋体" w:cs="宋体" w:eastAsia="宋体"/>
          <w:sz w:val="24"/>
        </w:rPr>
        <w:t>8.1因中标人原因造成采购合同无法按时签订，视为中标人违约，中标人违约对采购人造成的损失的，需另行支付相应的赔偿。</w:t>
      </w:r>
    </w:p>
    <w:p>
      <w:pPr>
        <w:pStyle w:val="null3"/>
        <w:ind w:firstLine="480"/>
        <w:jc w:val="both"/>
      </w:pPr>
      <w:r>
        <w:rPr>
          <w:rFonts w:ascii="宋体" w:hAnsi="宋体" w:cs="宋体" w:eastAsia="宋体"/>
          <w:sz w:val="24"/>
        </w:rPr>
        <w:t>8.2在签定采购合同之后，中标人要求解除合同的，视为中标人违约，对采购人造成的损失的，中标人需支付相应的赔偿。</w:t>
      </w:r>
    </w:p>
    <w:p>
      <w:pPr>
        <w:pStyle w:val="null3"/>
        <w:ind w:firstLine="480"/>
        <w:jc w:val="both"/>
      </w:pPr>
      <w:r>
        <w:rPr>
          <w:rFonts w:ascii="宋体" w:hAnsi="宋体" w:cs="宋体" w:eastAsia="宋体"/>
          <w:sz w:val="24"/>
        </w:rPr>
        <w:t>8.3因中标人原因发生重大质量事故，除依约承担赔偿责任外，还将按有关质量管理办法规定执行。同时，采购人有权保留更换中标人的权利，并报相关行政主管部门处罚。</w:t>
      </w:r>
    </w:p>
    <w:p>
      <w:pPr>
        <w:pStyle w:val="null3"/>
        <w:ind w:firstLine="480"/>
        <w:jc w:val="both"/>
      </w:pPr>
      <w:r>
        <w:rPr>
          <w:rFonts w:ascii="宋体" w:hAnsi="宋体" w:cs="宋体" w:eastAsia="宋体"/>
          <w:sz w:val="24"/>
        </w:rPr>
        <w:t>8.4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both"/>
      </w:pPr>
      <w:r>
        <w:rPr>
          <w:rFonts w:ascii="宋体" w:hAnsi="宋体" w:cs="宋体" w:eastAsia="宋体"/>
          <w:sz w:val="24"/>
        </w:rPr>
        <w:t>8.5在明确违约责任后，中标人应在接到书面通知书起七天内支付违约金、赔偿金等。</w:t>
      </w:r>
    </w:p>
    <w:p>
      <w:pPr>
        <w:pStyle w:val="null3"/>
        <w:ind w:firstLine="480"/>
        <w:jc w:val="both"/>
      </w:pPr>
      <w:r>
        <w:rPr>
          <w:rFonts w:ascii="宋体" w:hAnsi="宋体" w:cs="宋体" w:eastAsia="宋体"/>
          <w:sz w:val="24"/>
        </w:rPr>
        <w:t>8.6由于中标人的原因，中标人未能按照合同约定的时间提供服务的，每逾期1天的，中标人应向采购人支付500元违约金，逾期超过5天以上时，采购人同时有权解除合同。若因此给采购人造成损失的，中标人还应赔偿采购人所受的全部经济损失。</w:t>
      </w:r>
    </w:p>
    <w:p>
      <w:pPr>
        <w:pStyle w:val="null3"/>
        <w:ind w:firstLine="480"/>
        <w:jc w:val="both"/>
      </w:pPr>
      <w:r>
        <w:rPr>
          <w:rFonts w:ascii="宋体" w:hAnsi="宋体" w:cs="宋体" w:eastAsia="宋体"/>
          <w:sz w:val="24"/>
        </w:rPr>
        <w:t>8.7因中标人原因不能满足招标文件技术和服务要求的，中标人应向采购人偿付该合同款30%的违约金，同时合同终止履行。</w:t>
      </w:r>
    </w:p>
    <w:p>
      <w:pPr>
        <w:pStyle w:val="null3"/>
        <w:ind w:firstLine="480"/>
        <w:jc w:val="both"/>
      </w:pPr>
      <w:r>
        <w:rPr>
          <w:rFonts w:ascii="宋体" w:hAnsi="宋体" w:cs="宋体" w:eastAsia="宋体"/>
          <w:sz w:val="24"/>
        </w:rPr>
        <w:t>8.8在明确违约责任后，中标人应在接到书面通知书起七天内支付违约金、赔偿金等。</w:t>
      </w:r>
    </w:p>
    <w:p>
      <w:pPr>
        <w:pStyle w:val="null3"/>
        <w:ind w:firstLine="480"/>
        <w:jc w:val="both"/>
      </w:pPr>
      <w:r>
        <w:rPr>
          <w:rFonts w:ascii="宋体" w:hAnsi="宋体" w:cs="宋体" w:eastAsia="宋体"/>
          <w:sz w:val="24"/>
        </w:rPr>
        <w:t>★9、知识产权</w:t>
      </w:r>
    </w:p>
    <w:p>
      <w:pPr>
        <w:pStyle w:val="null3"/>
        <w:ind w:firstLine="480"/>
        <w:jc w:val="both"/>
      </w:pPr>
      <w:r>
        <w:rPr>
          <w:rFonts w:ascii="宋体" w:hAnsi="宋体" w:cs="宋体" w:eastAsia="宋体"/>
          <w:sz w:val="24"/>
        </w:rPr>
        <w:t>投标人须保障采购人在使用</w:t>
      </w:r>
      <w:r>
        <w:rPr>
          <w:rFonts w:ascii="宋体" w:hAnsi="宋体" w:cs="宋体" w:eastAsia="宋体"/>
          <w:sz w:val="24"/>
        </w:rPr>
        <w:t>服务内容</w:t>
      </w:r>
      <w:r>
        <w:rPr>
          <w:rFonts w:ascii="宋体" w:hAnsi="宋体" w:cs="宋体" w:eastAsia="宋体"/>
          <w:sz w:val="24"/>
        </w:rPr>
        <w:t>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p>
    <w:p>
      <w:pPr>
        <w:pStyle w:val="null3"/>
        <w:jc w:val="both"/>
      </w:pPr>
      <w:r>
        <w:rPr/>
        <w:t>2.1投标人应以包括产品所涉及的有关项目的所有费用进行报价，包括但不限于：设备和材料（含采购、交通、运输）、检测费用、安装、调试及试运行、验收、劳务、管理、劳保、维护、保险、利润、税款及政策性文件规定的各项应有费用及可合理推断的责任和义务。 2.2请中标人按招标文件规定及时与采购人签订政府采购合同。 2.3本项目不允许中标人以任何名义和理由进行转包，如有发现，采购人有权单方终止合同，视为中标人违约，没收履约保证金（若有）。如履约保证金不能弥补中标人违约对采购人造成的损失的，中标人还需另行支付相应的赔偿。 2.4本招标文件未明确的其它约定事项或条款，待采购人与中标人签订合同时，由双方协商订立。</w:t>
      </w:r>
    </w:p>
    <w:p>
      <w:pPr>
        <w:pStyle w:val="null3"/>
      </w:pPr>
    </w:p>
    <w:p>
      <w:pPr>
        <w:pStyle w:val="null3"/>
      </w:pPr>
      <w:r>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p>
    <w:p>
      <w:pPr>
        <w:pStyle w:val="null3"/>
        <w:spacing w:lineRule="auto" w:line="300"/>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pPr>
    </w:p>
    <w:p>
      <w:pPr>
        <w:pStyle w:val="null3"/>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pPr>
    </w:p>
    <w:p>
      <w:pPr>
        <w:pStyle w:val="null3"/>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outlineLvl w:val="2"/>
      </w:pPr>
      <w:r>
        <w:rPr>
          <w:b/>
          <w:sz w:val="28"/>
        </w:rPr>
        <w:t>一、投标函</w:t>
      </w:r>
    </w:p>
    <w:p>
      <w:pPr>
        <w:pStyle w:val="null3"/>
        <w:ind w:firstLine="480"/>
      </w:pPr>
      <w:r>
        <w:rPr/>
        <w:t>致：</w:t>
      </w:r>
      <w:r>
        <w:rPr>
          <w:u w:val="single"/>
        </w:rPr>
        <w:t>（采购人或采购代理机构）</w:t>
      </w:r>
    </w:p>
    <w:p>
      <w:pPr>
        <w:pStyle w:val="null3"/>
        <w:ind w:firstLine="480"/>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r>
    </w:p>
    <w:p>
      <w:pPr>
        <w:pStyle w:val="null3"/>
        <w:ind w:firstLine="480"/>
      </w:pPr>
      <w:r>
        <w:rPr/>
        <w:t xml:space="preserve">邮编：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jc w:val="right"/>
      </w:pPr>
      <w:r>
        <w:rPr/>
        <w:t>签署日期： 年 月 日</w:t>
      </w:r>
    </w:p>
    <w:p>
      <w:pPr>
        <w:pStyle w:val="null3"/>
        <w:ind w:firstLine="480"/>
      </w:pPr>
      <w:r>
        <w:rPr/>
        <w:t>附：单位负责人、投标人代表的身份证正反面复印件</w:t>
      </w:r>
    </w:p>
    <w:p>
      <w:pPr>
        <w:pStyle w:val="null3"/>
        <w:ind w:firstLine="960"/>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ind w:firstLine="960"/>
      </w:pPr>
      <w:r>
        <w:rPr/>
        <w:t xml:space="preserve"> </w:t>
      </w:r>
    </w:p>
    <w:p>
      <w:pPr>
        <w:pStyle w:val="null3"/>
        <w:ind w:firstLine="960"/>
        <w:jc w:val="center"/>
        <w:outlineLvl w:val="3"/>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pPr>
      <w:r>
        <w:rPr/>
        <w:t xml:space="preserve"> </w:t>
      </w:r>
    </w:p>
    <w:p>
      <w:pPr>
        <w:pStyle w:val="null3"/>
        <w:ind w:firstLine="960"/>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ind w:firstLine="960"/>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pPr>
      <w:r>
        <w:rPr/>
        <w:t xml:space="preserve"> </w:t>
      </w:r>
    </w:p>
    <w:p>
      <w:pPr>
        <w:pStyle w:val="null3"/>
        <w:ind w:firstLine="960"/>
        <w:jc w:val="center"/>
        <w:outlineLvl w:val="3"/>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 xml:space="preserve">（填写“工作及义务的具体内容”） </w:t>
      </w:r>
      <w:r>
        <w:rPr/>
        <w:t>；</w:t>
      </w:r>
    </w:p>
    <w:p>
      <w:pPr>
        <w:pStyle w:val="null3"/>
        <w:ind w:firstLine="480"/>
      </w:pPr>
      <w:r>
        <w:rPr/>
        <w:t>2、成员方：</w:t>
      </w:r>
    </w:p>
    <w:p>
      <w:pPr>
        <w:pStyle w:val="null3"/>
        <w:ind w:firstLine="480"/>
      </w:pPr>
      <w:r>
        <w:rPr/>
        <w:t>2.1（成员一的全称）：</w:t>
      </w:r>
      <w:r>
        <w:rPr>
          <w:u w:val="single"/>
        </w:rPr>
        <w:t>（填写“工作及义务的具体内容”）</w:t>
      </w:r>
      <w:r>
        <w:rPr/>
        <w:t xml:space="preserve"> ；</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 xml:space="preserve"> 全称</w:t>
      </w:r>
      <w:r>
        <w:rPr/>
        <w:t xml:space="preserve"> ）的合同金额占合同总额的</w:t>
      </w:r>
      <w:r>
        <w:rPr>
          <w:u w:val="single"/>
        </w:rPr>
        <w:t>　　</w:t>
      </w:r>
      <w:r>
        <w:rPr/>
        <w:t>%；</w:t>
      </w:r>
    </w:p>
    <w:p>
      <w:pPr>
        <w:pStyle w:val="null3"/>
        <w:ind w:firstLine="480"/>
      </w:pPr>
      <w:r>
        <w:rPr/>
        <w:t>2.成员方：</w:t>
      </w:r>
    </w:p>
    <w:p>
      <w:pPr>
        <w:pStyle w:val="null3"/>
        <w:ind w:firstLine="480"/>
      </w:pPr>
      <w:r>
        <w:rPr/>
        <w:t>2.1（</w:t>
      </w:r>
      <w:r>
        <w:rPr>
          <w:u w:val="single"/>
        </w:rPr>
        <w:t xml:space="preserve"> 成员1的全称 </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 xml:space="preserve"> （签字或盖章）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 xml:space="preserve"> （签字或盖章）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ind w:firstLine="960"/>
      </w:pPr>
      <w:r>
        <w:rPr/>
        <w:t xml:space="preserve"> </w:t>
      </w:r>
    </w:p>
    <w:p>
      <w:pPr>
        <w:pStyle w:val="null3"/>
        <w:ind w:firstLine="960"/>
        <w:jc w:val="center"/>
        <w:outlineLvl w:val="3"/>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ind w:firstLine="960"/>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outlineLvl w:val="2"/>
      </w:pPr>
      <w:r>
        <w:rPr>
          <w:b/>
          <w:sz w:val="28"/>
        </w:rPr>
        <w:t>一、开标一览表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二、投标分项报价表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p>
            <w:pPr>
              <w:pStyle w:val="null3"/>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u w:val="single"/>
              </w:rPr>
              <w:t>　　　　　</w:t>
            </w:r>
            <w:r>
              <w:rPr/>
              <w:t>；</w:t>
            </w:r>
          </w:p>
          <w:p>
            <w:pPr>
              <w:pStyle w:val="null3"/>
            </w:pPr>
          </w:p>
          <w:p>
            <w:pPr>
              <w:pStyle w:val="null3"/>
            </w:pPr>
            <w:r>
              <w:rPr/>
              <w:t>b.采购包投标总价（报价总金额）：</w:t>
            </w:r>
            <w:r>
              <w:rPr>
                <w:u w:val="single"/>
              </w:rPr>
              <w:t>　　　　　</w:t>
            </w:r>
            <w:r>
              <w:rPr/>
              <w:t>；</w:t>
            </w:r>
          </w:p>
          <w:p>
            <w:pPr>
              <w:pStyle w:val="null3"/>
            </w:pPr>
          </w:p>
          <w:p>
            <w:pPr>
              <w:pStyle w:val="null3"/>
            </w:pPr>
            <w:r>
              <w:rPr/>
              <w:t>c.“采购包内属于节能、环境标志产品的报价总金额”占“采购包投标总价（报价总金额）”的比例（以%列示）：</w:t>
            </w:r>
            <w:r>
              <w:rPr>
                <w:u w:val="single"/>
              </w:rPr>
              <w:t>　　　　　</w:t>
            </w:r>
            <w:r>
              <w:rPr/>
              <w:t>；</w:t>
            </w:r>
          </w:p>
          <w:p>
            <w:pPr>
              <w:pStyle w:val="null3"/>
            </w:pP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outlineLvl w:val="3"/>
      </w:pPr>
      <w:r>
        <w:rPr>
          <w:b/>
          <w:sz w:val="24"/>
        </w:rPr>
        <w:t>残疾人福利性单位声明函（价格扣除适用，若有）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ind w:firstLine="480"/>
      </w:pPr>
      <w:r>
        <w:rPr/>
        <w:t>附：</w:t>
      </w:r>
    </w:p>
    <w:p>
      <w:pPr>
        <w:pStyle w:val="null3"/>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pPr>
      <w:r>
        <w:rPr/>
        <w:t xml:space="preserve"> 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outlineLvl w:val="2"/>
      </w:pPr>
      <w:r>
        <w:rPr>
          <w:b/>
          <w:sz w:val="28"/>
        </w:rPr>
        <w:t>一、标的说明一览表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投标标的</w:t>
            </w:r>
          </w:p>
        </w:tc>
        <w:tc>
          <w:tcPr>
            <w:tcW w:type="dxa" w:w="1187"/>
          </w:tcPr>
          <w:p>
            <w:pPr>
              <w:pStyle w:val="null3"/>
            </w:pPr>
            <w:r>
              <w:rPr/>
              <w:t>数量</w:t>
            </w:r>
          </w:p>
        </w:tc>
        <w:tc>
          <w:tcPr>
            <w:tcW w:type="dxa" w:w="1187"/>
          </w:tcPr>
          <w:p>
            <w:pPr>
              <w:pStyle w:val="null3"/>
            </w:pPr>
            <w:r>
              <w:rPr/>
              <w:t>规格</w:t>
            </w:r>
          </w:p>
        </w:tc>
        <w:tc>
          <w:tcPr>
            <w:tcW w:type="dxa" w:w="1187"/>
          </w:tcPr>
          <w:p>
            <w:pPr>
              <w:pStyle w:val="null3"/>
            </w:pPr>
            <w:r>
              <w:rPr/>
              <w:t>来源地</w:t>
            </w:r>
          </w:p>
        </w:tc>
        <w:tc>
          <w:tcPr>
            <w:tcW w:type="dxa" w:w="1187"/>
          </w:tcPr>
          <w:p>
            <w:pPr>
              <w:pStyle w:val="null3"/>
            </w:pPr>
            <w:r>
              <w:rPr/>
              <w:t>备注</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二、技术和服务要求响应表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三、商务条件响应表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