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（服务类）</w:t>
      </w:r>
    </w:p>
    <w:p>
      <w:pPr>
        <w:pStyle w:val="null3"/>
        <w:jc w:val="center"/>
        <w:outlineLvl w:val="2"/>
      </w:pPr>
      <w:r>
        <w:rPr>
          <w:b/>
          <w:sz w:val="28"/>
        </w:rPr>
        <w:t>项目名称：</w:t>
      </w:r>
      <w:r>
        <w:rPr>
          <w:b/>
          <w:sz w:val="28"/>
        </w:rPr>
        <w:t>养老服务质量评估评价</w:t>
      </w:r>
    </w:p>
    <w:p>
      <w:pPr>
        <w:pStyle w:val="null3"/>
        <w:jc w:val="center"/>
        <w:outlineLvl w:val="2"/>
      </w:pPr>
      <w:r>
        <w:rPr>
          <w:b/>
          <w:sz w:val="28"/>
        </w:rPr>
        <w:t>备案编号：</w:t>
      </w:r>
      <w:r>
        <w:rPr>
          <w:b/>
          <w:sz w:val="28"/>
        </w:rPr>
        <w:t>CGXM-2023-350001-12249[2023]14820</w:t>
      </w:r>
    </w:p>
    <w:p>
      <w:pPr>
        <w:pStyle w:val="null3"/>
        <w:jc w:val="center"/>
        <w:outlineLvl w:val="2"/>
      </w:pPr>
      <w:r>
        <w:rPr>
          <w:b/>
          <w:sz w:val="28"/>
        </w:rPr>
        <w:t>项目编号：</w:t>
      </w:r>
      <w:r>
        <w:rPr>
          <w:b/>
          <w:sz w:val="28"/>
        </w:rPr>
        <w:t>[350001]ZZXM[CS]2023005</w:t>
      </w:r>
    </w:p>
    <w:p>
      <w:pPr>
        <w:pStyle w:val="null3"/>
        <w:jc w:val="center"/>
        <w:outlineLvl w:val="2"/>
      </w:pPr>
      <w:r>
        <w:rPr>
          <w:b/>
          <w:sz w:val="28"/>
        </w:rPr>
        <w:t>采购人：</w:t>
      </w:r>
      <w:r>
        <w:rPr>
          <w:b/>
          <w:sz w:val="28"/>
        </w:rPr>
        <w:t>福建省民政厅（本级）</w:t>
      </w:r>
    </w:p>
    <w:p>
      <w:pPr>
        <w:pStyle w:val="null3"/>
        <w:jc w:val="center"/>
        <w:outlineLvl w:val="2"/>
      </w:pPr>
      <w:r>
        <w:rPr>
          <w:b/>
          <w:sz w:val="28"/>
        </w:rPr>
        <w:t>代理机构：</w:t>
      </w:r>
      <w:r>
        <w:rPr>
          <w:b/>
          <w:sz w:val="28"/>
        </w:rPr>
        <w:t>福建中招项目管理有限公司</w:t>
      </w:r>
    </w:p>
    <w:p>
      <w:pPr>
        <w:pStyle w:val="null3"/>
        <w:jc w:val="center"/>
        <w:outlineLvl w:val="2"/>
      </w:pPr>
      <w:r>
        <w:rPr>
          <w:b/>
          <w:sz w:val="28"/>
        </w:rPr>
        <w:t>编制时间</w:t>
      </w:r>
      <w:r>
        <w:rPr>
          <w:b/>
          <w:sz w:val="28"/>
        </w:rPr>
        <w:t>：</w:t>
      </w:r>
      <w:r>
        <w:rPr>
          <w:b/>
          <w:sz w:val="28"/>
        </w:rPr>
        <w:t>2023年12月</w:t>
      </w:r>
    </w:p>
    <w:p>
      <w:pPr>
        <w:pStyle w:val="null3"/>
      </w:pPr>
      <w:r>
        <w:rPr/>
        <w:t xml:space="preserve"> </w:t>
        <w:br/>
        <w:br w:type="page"/>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福建省民政厅（本级）</w:t>
      </w:r>
      <w:r>
        <w:rPr/>
        <w:t xml:space="preserve"> 已根据政府采购相关法律法规，经相应程序确定采用 竞争性磋商 方式组织 </w:t>
      </w:r>
      <w:r>
        <w:rPr/>
        <w:t>养老服务质量评估评价</w:t>
      </w:r>
      <w:r>
        <w:rPr/>
        <w:t xml:space="preserve"> 项目（以下简称：“本项目”）的政府采购活动， </w:t>
      </w:r>
      <w:r>
        <w:rPr/>
        <w:t>现欢迎国内合格的供应商前来参加。</w:t>
      </w:r>
      <w:r>
        <w:rPr/>
        <w:t xml:space="preserve"> 本项目由采购人委托 </w:t>
      </w:r>
      <w:r>
        <w:rPr/>
        <w:t>福建中招项目管理有限公司</w:t>
      </w:r>
      <w:r>
        <w:rPr/>
        <w:t xml:space="preserve"> 开展竞争性磋商活动。</w:t>
      </w:r>
    </w:p>
    <w:p>
      <w:pPr>
        <w:pStyle w:val="null3"/>
        <w:ind w:firstLine="480"/>
        <w:jc w:val="left"/>
        <w:outlineLvl w:val="2"/>
      </w:pPr>
      <w:r>
        <w:rPr>
          <w:b/>
          <w:sz w:val="28"/>
        </w:rPr>
        <w:t>1.项目名称</w:t>
      </w:r>
      <w:r>
        <w:rPr>
          <w:b/>
          <w:sz w:val="28"/>
        </w:rPr>
        <w:t xml:space="preserve">： </w:t>
      </w:r>
      <w:r>
        <w:rPr>
          <w:b/>
          <w:sz w:val="28"/>
        </w:rPr>
        <w:t>养老服务质量评估评价</w:t>
      </w:r>
    </w:p>
    <w:p>
      <w:pPr>
        <w:pStyle w:val="null3"/>
        <w:ind w:firstLine="480"/>
        <w:jc w:val="left"/>
        <w:outlineLvl w:val="2"/>
      </w:pPr>
      <w:r>
        <w:rPr>
          <w:b/>
          <w:sz w:val="28"/>
        </w:rPr>
        <w:t>2.备案编号</w:t>
      </w:r>
      <w:r>
        <w:rPr>
          <w:b/>
          <w:sz w:val="28"/>
        </w:rPr>
        <w:t xml:space="preserve">： </w:t>
      </w:r>
      <w:r>
        <w:rPr>
          <w:b/>
          <w:sz w:val="28"/>
        </w:rPr>
        <w:t>CGXM-2023-350001-12249[2023]14820</w:t>
      </w:r>
    </w:p>
    <w:p>
      <w:pPr>
        <w:pStyle w:val="null3"/>
        <w:ind w:firstLine="480"/>
        <w:jc w:val="left"/>
        <w:outlineLvl w:val="2"/>
      </w:pPr>
      <w:r>
        <w:rPr>
          <w:b/>
          <w:sz w:val="28"/>
        </w:rPr>
        <w:t>3.项目编号</w:t>
      </w:r>
      <w:r>
        <w:rPr>
          <w:b/>
          <w:sz w:val="28"/>
        </w:rPr>
        <w:t xml:space="preserve">： </w:t>
      </w:r>
      <w:r>
        <w:rPr>
          <w:b/>
          <w:sz w:val="28"/>
        </w:rPr>
        <w:t>[350001]ZZXM[CS]2023005</w:t>
      </w:r>
    </w:p>
    <w:p>
      <w:pPr>
        <w:pStyle w:val="null3"/>
        <w:ind w:firstLine="480"/>
        <w:jc w:val="left"/>
        <w:outlineLvl w:val="2"/>
      </w:pPr>
      <w:r>
        <w:rPr>
          <w:b/>
          <w:sz w:val="28"/>
        </w:rPr>
        <w:t>4.采购内容及要求：</w:t>
      </w:r>
    </w:p>
    <w:p>
      <w:pPr>
        <w:pStyle w:val="null3"/>
        <w:ind w:firstLine="960"/>
        <w:jc w:val="left"/>
      </w:pPr>
      <w:r>
        <w:rPr/>
        <w:t>采购包1：</w:t>
      </w:r>
    </w:p>
    <w:p>
      <w:pPr>
        <w:pStyle w:val="null3"/>
        <w:jc w:val="left"/>
      </w:pPr>
      <w:r>
        <w:rPr/>
        <w:t>采购包预算金额（元）: 1,500,000.00</w:t>
      </w:r>
    </w:p>
    <w:p>
      <w:pPr>
        <w:pStyle w:val="null3"/>
        <w:jc w:val="left"/>
      </w:pPr>
      <w:r>
        <w:rPr/>
        <w:t>采购包最高限价（元）: 1,500,000.00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养老服务质量评估评价</w:t>
            </w:r>
          </w:p>
        </w:tc>
        <w:tc>
          <w:tcPr>
            <w:tcW w:type="dxa" w:w="1187"/>
          </w:tcPr>
          <w:p>
            <w:pPr>
              <w:pStyle w:val="null3"/>
              <w:jc w:val="right"/>
            </w:pPr>
            <w:r>
              <w:rPr/>
              <w:t>1.00</w:t>
            </w:r>
          </w:p>
        </w:tc>
        <w:tc>
          <w:tcPr>
            <w:tcW w:type="dxa" w:w="1187"/>
          </w:tcPr>
          <w:p>
            <w:pPr>
              <w:pStyle w:val="null3"/>
              <w:jc w:val="right"/>
            </w:pPr>
            <w:r>
              <w:rPr/>
              <w:t>1,500,000.00</w:t>
            </w:r>
          </w:p>
        </w:tc>
        <w:tc>
          <w:tcPr>
            <w:tcW w:type="dxa" w:w="1187"/>
          </w:tcPr>
          <w:p>
            <w:pPr>
              <w:pStyle w:val="null3"/>
              <w:jc w:val="left"/>
            </w:pPr>
            <w:r>
              <w:rPr/>
              <w:t>年度</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不适用于本采购包。</w:t>
      </w:r>
    </w:p>
    <w:p>
      <w:pPr>
        <w:pStyle w:val="null3"/>
        <w:ind w:firstLine="960"/>
        <w:jc w:val="left"/>
      </w:pPr>
      <w:r>
        <w:rPr/>
        <w:t>节能产品：</w:t>
      </w:r>
      <w:r>
        <w:rPr/>
        <w:t>不适用于本采购包。</w:t>
      </w:r>
    </w:p>
    <w:p>
      <w:pPr>
        <w:pStyle w:val="null3"/>
        <w:ind w:firstLine="960"/>
        <w:jc w:val="left"/>
      </w:pPr>
      <w:r>
        <w:rPr/>
        <w:t>环境标志产品：</w:t>
      </w:r>
      <w:r>
        <w:rPr/>
        <w:t>不适用于本采购包。</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提供财务状况报告（财务报告、或资信证明）补充说明</w:t>
            </w:r>
          </w:p>
        </w:tc>
        <w:tc>
          <w:tcPr>
            <w:tcW w:type="dxa" w:w="4614"/>
          </w:tcPr>
          <w:p>
            <w:pPr>
              <w:pStyle w:val="null3"/>
              <w:jc w:val="left"/>
            </w:pPr>
            <w:r>
              <w:rPr/>
              <w:t>“a.成立年限满1年及以上的供应商，提供经审计的上一年度的年度财务报告”指“经审计的2022年度或2023年度的财务报告”。本磋商文件中若有与此处不一致的，以此处补充说明为准。</w:t>
            </w:r>
          </w:p>
        </w:tc>
      </w:tr>
      <w:tr>
        <w:tc>
          <w:tcPr>
            <w:tcW w:type="dxa" w:w="3692"/>
          </w:tcPr>
          <w:p>
            <w:pPr>
              <w:pStyle w:val="null3"/>
              <w:jc w:val="left"/>
            </w:pPr>
            <w:r>
              <w:rPr/>
              <w:t>依法缴纳社会保障资金证明材料补充说明</w:t>
            </w:r>
          </w:p>
        </w:tc>
        <w:tc>
          <w:tcPr>
            <w:tcW w:type="dxa" w:w="4614"/>
          </w:tcPr>
          <w:p>
            <w:pPr>
              <w:pStyle w:val="null3"/>
              <w:jc w:val="left"/>
            </w:pPr>
            <w:r>
              <w:rPr/>
              <w:t>本项目已申请“在同等条件下优先向社会组织购买民生保障、社会质量、行业管理、公共慈善等领域的公共服务”，若供应商或联合体成员方为社会组织的，允许只提供第三方劳务派遣合同及第三方代扣代缴社会保障资金的凭据复印件。</w:t>
            </w:r>
          </w:p>
        </w:tc>
      </w:tr>
    </w:tbl>
    <w:p>
      <w:pPr>
        <w:pStyle w:val="null3"/>
        <w:ind w:firstLine="960"/>
        <w:jc w:val="left"/>
      </w:pPr>
      <w:r>
        <w:rPr/>
        <w:t>6.3是否接受联合体形式的响应磋商：</w:t>
      </w:r>
    </w:p>
    <w:p>
      <w:pPr>
        <w:pStyle w:val="null3"/>
        <w:ind w:firstLine="960"/>
        <w:jc w:val="left"/>
      </w:pPr>
      <w:r>
        <w:rPr/>
        <w:t>采购包1：接受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福建省民政厅（本级）</w:t>
      </w:r>
    </w:p>
    <w:p>
      <w:pPr>
        <w:pStyle w:val="null3"/>
        <w:ind w:firstLine="960"/>
        <w:jc w:val="left"/>
      </w:pPr>
      <w:r>
        <w:rPr/>
        <w:t xml:space="preserve"> 地址： </w:t>
      </w:r>
      <w:r>
        <w:rPr/>
        <w:t>福州市鼓楼区鼓东路44号</w:t>
      </w:r>
    </w:p>
    <w:p>
      <w:pPr>
        <w:pStyle w:val="null3"/>
        <w:jc w:val="left"/>
      </w:pPr>
      <w:r>
        <w:rPr/>
        <w:t xml:space="preserve"> 邮编： </w:t>
      </w:r>
      <w:r>
        <w:rPr/>
        <w:t>350001</w:t>
      </w:r>
    </w:p>
    <w:p>
      <w:pPr>
        <w:pStyle w:val="null3"/>
        <w:jc w:val="left"/>
      </w:pPr>
      <w:r>
        <w:rPr/>
        <w:t xml:space="preserve"> 联系人： </w:t>
      </w:r>
      <w:r>
        <w:rPr/>
        <w:t>黄云龙</w:t>
      </w:r>
    </w:p>
    <w:p>
      <w:pPr>
        <w:pStyle w:val="null3"/>
        <w:jc w:val="left"/>
      </w:pPr>
      <w:r>
        <w:rPr/>
        <w:t xml:space="preserve"> 联系电话： </w:t>
      </w:r>
      <w:r>
        <w:rPr/>
        <w:t>15159985993</w:t>
      </w:r>
    </w:p>
    <w:p>
      <w:pPr>
        <w:pStyle w:val="null3"/>
        <w:ind w:firstLine="480"/>
        <w:jc w:val="left"/>
        <w:outlineLvl w:val="2"/>
      </w:pPr>
      <w:r>
        <w:rPr>
          <w:b/>
          <w:sz w:val="28"/>
        </w:rPr>
        <w:t>14、代理机构</w:t>
      </w:r>
      <w:r>
        <w:rPr>
          <w:b/>
          <w:sz w:val="28"/>
        </w:rPr>
        <w:t>：</w:t>
      </w:r>
      <w:r>
        <w:rPr>
          <w:b/>
          <w:sz w:val="28"/>
        </w:rPr>
        <w:t>福建中招项目管理有限公司</w:t>
      </w:r>
    </w:p>
    <w:p>
      <w:pPr>
        <w:pStyle w:val="null3"/>
        <w:ind w:firstLine="960"/>
        <w:jc w:val="left"/>
      </w:pPr>
      <w:r>
        <w:rPr/>
        <w:t xml:space="preserve"> 地址： </w:t>
      </w:r>
      <w:r>
        <w:rPr/>
        <w:t>福州市鼓楼区五四路19号国泰大厦五层</w:t>
      </w:r>
    </w:p>
    <w:p>
      <w:pPr>
        <w:pStyle w:val="null3"/>
        <w:jc w:val="left"/>
      </w:pPr>
      <w:r>
        <w:rPr/>
        <w:t xml:space="preserve"> 邮编： </w:t>
      </w:r>
      <w:r>
        <w:rPr/>
        <w:t>350001</w:t>
      </w:r>
    </w:p>
    <w:p>
      <w:pPr>
        <w:pStyle w:val="null3"/>
        <w:jc w:val="left"/>
      </w:pPr>
      <w:r>
        <w:rPr/>
        <w:t xml:space="preserve"> 联系人： </w:t>
      </w:r>
      <w:r>
        <w:rPr/>
        <w:t>林键、东海霞</w:t>
      </w:r>
    </w:p>
    <w:p>
      <w:pPr>
        <w:pStyle w:val="null3"/>
        <w:jc w:val="left"/>
      </w:pPr>
      <w:r>
        <w:rPr/>
        <w:t xml:space="preserve"> 联系电话： </w:t>
      </w:r>
      <w:r>
        <w:rPr/>
        <w:t>0591-62623605</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福建中招项目管理有限公司</w:t>
            </w:r>
          </w:p>
        </w:tc>
      </w:tr>
      <w:tr>
        <w:tc>
          <w:tcPr>
            <w:tcW w:type="dxa" w:w="8306"/>
          </w:tcPr>
          <w:p>
            <w:pPr>
              <w:pStyle w:val="null3"/>
              <w:jc w:val="left"/>
            </w:pPr>
            <w:r>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1、请供应商务必认真核对账户信息，将磋商保证金款项汇入对应账户，并自行承担因款项汇错而产生的一切后果。</w:t>
            </w:r>
          </w:p>
          <w:p>
            <w:pPr>
              <w:pStyle w:val="null3"/>
              <w:jc w:val="left"/>
            </w:pPr>
            <w:r>
              <w:rPr/>
              <w:t>2、请供应商在转账或电汇的凭证上务必按照以下格式注明，以便核对：“（项目编号：***、采购包：***）的磋商保证金”。</w:t>
            </w:r>
          </w:p>
        </w:tc>
      </w:tr>
    </w:tbl>
    <w:p>
      <w:pPr>
        <w:pStyle w:val="null3"/>
      </w:pPr>
      <w:r>
        <w:rPr/>
        <w:t xml:space="preserve"> </w:t>
        <w:br/>
        <w:br w:type="page"/>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供应商的资格要求：见磋商文件第一章“采购公告/采购邀请书”</w:t>
            </w:r>
          </w:p>
          <w:p>
            <w:pPr>
              <w:pStyle w:val="null3"/>
              <w:jc w:val="left"/>
            </w:pPr>
            <w:r>
              <w:rPr/>
              <w:t xml:space="preserve"> （1）资格证明文件资料要求：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磋商响应声明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（2）特定资格条件：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提供财务状况报告（财务报告、或资信证明）补充说明</w:t>
                  </w:r>
                </w:p>
              </w:tc>
              <w:tc>
                <w:tcPr>
                  <w:tcW w:type="dxa" w:w="1418"/>
                </w:tcPr>
                <w:p>
                  <w:pPr>
                    <w:pStyle w:val="null3"/>
                    <w:jc w:val="left"/>
                  </w:pPr>
                  <w:r>
                    <w:rPr/>
                    <w:t>“a.成立年限满1年及以上的供应商，提供经审计的上一年度的年度财务报告”指“经审计的2022年度或2023年度的财务报告”。本磋商文件中若有与此处不一致的，以此处补充说明为准。</w:t>
                  </w:r>
                </w:p>
              </w:tc>
            </w:tr>
            <w:tr>
              <w:tc>
                <w:tcPr>
                  <w:tcW w:type="dxa" w:w="1135"/>
                </w:tcPr>
                <w:p>
                  <w:pPr>
                    <w:pStyle w:val="null3"/>
                    <w:jc w:val="left"/>
                  </w:pPr>
                  <w:r>
                    <w:rPr/>
                    <w:t>依法缴纳社会保障资金证明材料补充说明</w:t>
                  </w:r>
                </w:p>
              </w:tc>
              <w:tc>
                <w:tcPr>
                  <w:tcW w:type="dxa" w:w="1418"/>
                </w:tcPr>
                <w:p>
                  <w:pPr>
                    <w:pStyle w:val="null3"/>
                    <w:jc w:val="left"/>
                  </w:pPr>
                  <w:r>
                    <w:rPr/>
                    <w:t>本项目已申请“在同等条件下优先向社会组织购买民生保障、社会质量、行业管理、公共慈善等领域的公共服务”，若供应商或联合体成员方为社会组织的，允许只提供第三方劳务派遣合同及第三方代扣代缴社会保障资金的凭据复印件。</w:t>
                  </w:r>
                </w:p>
              </w:tc>
            </w:tr>
          </w:tbl>
          <w:p>
            <w:pPr>
              <w:pStyle w:val="null3"/>
              <w:jc w:val="left"/>
            </w:pPr>
            <w:r>
              <w:rPr/>
              <w:t xml:space="preserve"> （3）磋商保证金</w:t>
            </w:r>
          </w:p>
          <w:p>
            <w:pPr>
              <w:pStyle w:val="null3"/>
              <w:jc w:val="left"/>
            </w:pPr>
            <w:r>
              <w:rPr/>
              <w:t xml:space="preserve"> ※备注说明</w:t>
            </w:r>
          </w:p>
          <w:p>
            <w:pPr>
              <w:pStyle w:val="null3"/>
              <w:jc w:val="left"/>
            </w:pPr>
            <w:r>
              <w:rPr/>
              <w:t xml:space="preserve"> ①供应商应根据自身实际情况提供上述资格要求的证明材料，格式可参考磋商文件第五章提供。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是否接受联合体形式的响应磋商：</w:t>
            </w:r>
          </w:p>
          <w:p>
            <w:pPr>
              <w:pStyle w:val="null3"/>
              <w:jc w:val="left"/>
            </w:pPr>
            <w:r>
              <w:rPr/>
              <w:t>采购包1：接受</w:t>
            </w:r>
          </w:p>
        </w:tc>
      </w:tr>
      <w:tr>
        <w:tc>
          <w:tcPr>
            <w:tcW w:type="dxa" w:w="2769"/>
          </w:tcPr>
          <w:p>
            <w:pPr>
              <w:pStyle w:val="null3"/>
              <w:jc w:val="left"/>
            </w:pPr>
            <w:r>
              <w:rPr/>
              <w:t>3</w:t>
            </w:r>
          </w:p>
        </w:tc>
        <w:tc>
          <w:tcPr>
            <w:tcW w:type="dxa" w:w="2769"/>
          </w:tcPr>
          <w:p>
            <w:pPr>
              <w:pStyle w:val="null3"/>
              <w:jc w:val="left"/>
            </w:pPr>
            <w:r>
              <w:rPr/>
              <w:t>6.3</w:t>
            </w:r>
          </w:p>
        </w:tc>
        <w:tc>
          <w:tcPr>
            <w:tcW w:type="dxa" w:w="2769"/>
          </w:tcPr>
          <w:p>
            <w:pPr>
              <w:pStyle w:val="null3"/>
              <w:jc w:val="left"/>
            </w:pPr>
            <w:r>
              <w:rPr/>
              <w:t>是否组织现场考察或召开磋商前答疑会：</w:t>
            </w:r>
          </w:p>
          <w:p>
            <w:pPr>
              <w:pStyle w:val="null3"/>
              <w:jc w:val="left"/>
            </w:pPr>
            <w:r>
              <w:rPr/>
              <w:t>采购包1：不组织</w:t>
            </w:r>
          </w:p>
        </w:tc>
      </w:tr>
      <w:tr>
        <w:tc>
          <w:tcPr>
            <w:tcW w:type="dxa" w:w="2769"/>
          </w:tcPr>
          <w:p>
            <w:pPr>
              <w:pStyle w:val="null3"/>
              <w:jc w:val="left"/>
            </w:pPr>
            <w:r>
              <w:rPr/>
              <w:t>4</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10.3.1</w:t>
            </w:r>
          </w:p>
        </w:tc>
        <w:tc>
          <w:tcPr>
            <w:tcW w:type="dxa" w:w="2769"/>
          </w:tcPr>
          <w:p>
            <w:pPr>
              <w:pStyle w:val="null3"/>
              <w:jc w:val="left"/>
            </w:pPr>
            <w:r>
              <w:rPr/>
              <w:t>磋商保证金退还的其它要求：</w:t>
            </w:r>
          </w:p>
          <w:p>
            <w:pPr>
              <w:pStyle w:val="null3"/>
              <w:jc w:val="left"/>
            </w:pPr>
            <w:r>
              <w:rPr/>
              <w:t>无</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（2）电子响应文件：详见表2《关于电子竞争性磋商活动的专门规定》</w:t>
            </w:r>
          </w:p>
        </w:tc>
      </w:tr>
      <w:tr>
        <w:tc>
          <w:tcPr>
            <w:tcW w:type="dxa" w:w="2769"/>
          </w:tcPr>
          <w:p>
            <w:pPr>
              <w:pStyle w:val="null3"/>
              <w:jc w:val="left"/>
            </w:pPr>
            <w:r>
              <w:rPr/>
              <w:t>7</w:t>
            </w:r>
          </w:p>
        </w:tc>
        <w:tc>
          <w:tcPr>
            <w:tcW w:type="dxa" w:w="2769"/>
          </w:tcPr>
          <w:p>
            <w:pPr>
              <w:pStyle w:val="null3"/>
              <w:jc w:val="left"/>
            </w:pPr>
            <w:r>
              <w:rPr/>
              <w:t>14.4</w:t>
            </w:r>
          </w:p>
        </w:tc>
        <w:tc>
          <w:tcPr>
            <w:tcW w:type="dxa" w:w="2769"/>
          </w:tcPr>
          <w:p>
            <w:pPr>
              <w:pStyle w:val="null3"/>
              <w:jc w:val="left"/>
            </w:pPr>
            <w:r>
              <w:rPr/>
              <w:t>磋商过程中可能发生实质性变动的内容：</w:t>
            </w:r>
          </w:p>
          <w:p>
            <w:pPr>
              <w:pStyle w:val="null3"/>
              <w:jc w:val="left"/>
            </w:pPr>
            <w:r>
              <w:rPr/>
              <w:t>以磋商小组视现场磋商情况而定。</w:t>
            </w:r>
          </w:p>
        </w:tc>
      </w:tr>
      <w:tr>
        <w:tc>
          <w:tcPr>
            <w:tcW w:type="dxa" w:w="2769"/>
          </w:tcPr>
          <w:p>
            <w:pPr>
              <w:pStyle w:val="null3"/>
              <w:jc w:val="left"/>
            </w:pPr>
            <w:r>
              <w:rPr/>
              <w:t>8</w:t>
            </w:r>
          </w:p>
        </w:tc>
        <w:tc>
          <w:tcPr>
            <w:tcW w:type="dxa" w:w="2769"/>
          </w:tcPr>
          <w:p>
            <w:pPr>
              <w:pStyle w:val="null3"/>
              <w:jc w:val="left"/>
            </w:pPr>
            <w:r>
              <w:rPr/>
              <w:t>14.9</w:t>
            </w:r>
          </w:p>
        </w:tc>
        <w:tc>
          <w:tcPr>
            <w:tcW w:type="dxa" w:w="2769"/>
          </w:tcPr>
          <w:p>
            <w:pPr>
              <w:pStyle w:val="null3"/>
              <w:jc w:val="left"/>
            </w:pPr>
            <w:r>
              <w:rPr/>
              <w:t>评审的标准和方法：具体内容详见竞争性磋商须知前附表专项附件“评审的标准和方法”。</w:t>
            </w:r>
          </w:p>
        </w:tc>
      </w:tr>
      <w:tr>
        <w:tc>
          <w:tcPr>
            <w:tcW w:type="dxa" w:w="2769"/>
          </w:tcPr>
          <w:p>
            <w:pPr>
              <w:pStyle w:val="null3"/>
              <w:jc w:val="left"/>
            </w:pPr>
            <w:r>
              <w:rPr/>
              <w:t>9</w:t>
            </w:r>
          </w:p>
        </w:tc>
        <w:tc>
          <w:tcPr>
            <w:tcW w:type="dxa" w:w="2769"/>
          </w:tcPr>
          <w:p/>
        </w:tc>
        <w:tc>
          <w:tcPr>
            <w:tcW w:type="dxa" w:w="2769"/>
          </w:tcPr>
          <w:p>
            <w:pPr>
              <w:pStyle w:val="null3"/>
              <w:jc w:val="left"/>
            </w:pPr>
            <w:r>
              <w:rPr/>
              <w:t>根据采购项目的特点和需要，需要加以详细说明的其他磋商程序规定、要求等内容：</w:t>
            </w:r>
          </w:p>
          <w:p>
            <w:pPr>
              <w:pStyle w:val="null3"/>
              <w:jc w:val="left"/>
            </w:pPr>
            <w:r>
              <w:rPr/>
              <w:t>无</w:t>
            </w:r>
          </w:p>
        </w:tc>
      </w:tr>
      <w:tr>
        <w:tc>
          <w:tcPr>
            <w:tcW w:type="dxa" w:w="2769"/>
          </w:tcPr>
          <w:p>
            <w:pPr>
              <w:pStyle w:val="null3"/>
              <w:jc w:val="left"/>
            </w:pPr>
            <w:r>
              <w:rPr/>
              <w:t>10</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11</w:t>
            </w:r>
          </w:p>
        </w:tc>
        <w:tc>
          <w:tcPr>
            <w:tcW w:type="dxa" w:w="2769"/>
          </w:tcPr>
          <w:p>
            <w:pPr>
              <w:pStyle w:val="null3"/>
              <w:jc w:val="left"/>
            </w:pPr>
            <w:r>
              <w:rPr/>
              <w:t>23.1</w:t>
            </w:r>
          </w:p>
        </w:tc>
        <w:tc>
          <w:tcPr>
            <w:tcW w:type="dxa" w:w="2769"/>
          </w:tcPr>
          <w:p>
            <w:pPr>
              <w:pStyle w:val="null3"/>
              <w:jc w:val="left"/>
            </w:pPr>
            <w:r>
              <w:rPr/>
              <w:t xml:space="preserve">本项目监督管理部门： </w:t>
            </w:r>
            <w:r>
              <w:rPr/>
              <w:t>福建省财政厅政府采购监督管理办公室</w:t>
            </w:r>
          </w:p>
        </w:tc>
      </w:tr>
      <w:tr>
        <w:tc>
          <w:tcPr>
            <w:tcW w:type="dxa" w:w="2769"/>
          </w:tcPr>
          <w:p>
            <w:pPr>
              <w:pStyle w:val="null3"/>
              <w:jc w:val="left"/>
            </w:pPr>
            <w:r>
              <w:rPr/>
              <w:t>12</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招标代理服务收费标准:100万元以下的服务费比例1.5％，100万元—500万元的服务费比例0.8％计算向成交人收取招标代理服务费。2)收取方式：成交人须在领取成交通知书之前以转账等付款方式一次性付清。招标代理服务费缴交银行账号： 开户名：福建中招项目管理有限公司 开户行：招商银行东街口支行 账 号：5919 0583 3810 101</w:t>
            </w:r>
          </w:p>
          <w:p>
            <w:pPr>
              <w:pStyle w:val="null3"/>
              <w:jc w:val="left"/>
            </w:pPr>
            <w:r>
              <w:rPr/>
              <w:t xml:space="preserve"> (2)其他：</w:t>
            </w:r>
          </w:p>
          <w:p>
            <w:pPr>
              <w:pStyle w:val="null3"/>
              <w:jc w:val="left"/>
            </w:pPr>
            <w:r>
              <w:rPr/>
              <w:t>2.1、联合体投标有关规定：1）、两个以上的法人可以组成一个联合体，以一个供应商的身份共同参加政府采购。以联合体形式进行政府采购的，参加联合体的供应商均应当具备《中华人民共和国政府采购法》第二十二条第一款规定的条件。联合体中有同类资质的供应商按照联合体分工承担相同工作的，应当按照资质等级较低的供应商确定资质等级。联合体参与投标的，在响应文件中必须明确以联合体的确定一方的条件参与商务部分的评标，若未明确的，磋商小组将确定条件较低的一方的商务部分确定参与评标。</w:t>
            </w:r>
          </w:p>
          <w:p>
            <w:pPr>
              <w:pStyle w:val="null3"/>
              <w:jc w:val="left"/>
            </w:pPr>
            <w:r>
              <w:rPr/>
              <w:t xml:space="preserve"> ※若有与电子竞争性磋商活动有关的规定及内容应在表2中填写，不在此处填写）。</w:t>
            </w:r>
          </w:p>
        </w:tc>
      </w:tr>
      <w:tr>
        <w:tc>
          <w:tcPr>
            <w:tcW w:type="dxa" w:w="2769"/>
          </w:tcPr>
          <w:p>
            <w:pPr>
              <w:pStyle w:val="null3"/>
              <w:jc w:val="left"/>
            </w:pPr>
            <w:r>
              <w:rPr/>
              <w:t>13</w:t>
            </w:r>
          </w:p>
        </w:tc>
        <w:tc>
          <w:tcPr>
            <w:tcW w:type="dxa" w:w="2769"/>
          </w:tcPr>
          <w:p>
            <w:pPr>
              <w:pStyle w:val="null3"/>
              <w:jc w:val="left"/>
            </w:pPr>
            <w:r>
              <w:rPr/>
              <w:t>18.1</w:t>
            </w:r>
          </w:p>
        </w:tc>
        <w:tc>
          <w:tcPr>
            <w:tcW w:type="dxa" w:w="2769"/>
          </w:tcPr>
          <w:p>
            <w:pPr>
              <w:pStyle w:val="null3"/>
              <w:jc w:val="left"/>
            </w:pPr>
            <w:r>
              <w:rPr/>
              <w:t>合同签订时限：</w:t>
            </w:r>
            <w:r>
              <w:rPr/>
              <w:t>自成交通知书发出之日起30个日历日内。</w:t>
            </w:r>
          </w:p>
        </w:tc>
      </w:tr>
    </w:tbl>
    <w:p>
      <w:pPr>
        <w:pStyle w:val="null3"/>
        <w:jc w:val="left"/>
      </w:pPr>
      <w:r>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关于电子竞争性磋商活动的专门规定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电子竞争性磋商活动的专门规定适用于本项目。</w:t>
            </w:r>
          </w:p>
          <w:p>
            <w:pPr>
              <w:pStyle w:val="null3"/>
              <w:jc w:val="left"/>
            </w:pPr>
            <w:r>
              <w:rPr/>
              <w:t>（2）将磋商文件</w:t>
            </w:r>
          </w:p>
          <w:p>
            <w:pPr>
              <w:pStyle w:val="null3"/>
              <w:jc w:val="left"/>
            </w:pPr>
            <w:r>
              <w:rPr/>
              <w:t>无</w:t>
            </w:r>
            <w:r>
              <w:rPr/>
              <w:t>的内容修正为下列内容：</w:t>
            </w:r>
          </w:p>
          <w:p>
            <w:pPr>
              <w:pStyle w:val="null3"/>
              <w:jc w:val="left"/>
            </w:pPr>
            <w:r>
              <w:rPr/>
              <w:t>无</w:t>
            </w:r>
            <w:r>
              <w:rPr/>
              <w:t xml:space="preserve"> 后适用本项目的电子竞争性磋商活动。</w:t>
            </w:r>
          </w:p>
          <w:p>
            <w:pPr>
              <w:pStyle w:val="null3"/>
              <w:jc w:val="left"/>
            </w:pPr>
            <w:r>
              <w:rPr/>
              <w:t>（3）将下列内容增列为磋商文件的组成部分（以下简称：“增列内容”）适用本项目的电子竞争性磋商活动，若增列内容与磋商文件其他章节内容不一致，应以增列内容为准：</w:t>
            </w:r>
          </w:p>
          <w:p>
            <w:pPr>
              <w:pStyle w:val="null3"/>
              <w:jc w:val="left"/>
            </w:pPr>
            <w:r>
              <w:rPr/>
              <w:t>①电子竞争性磋商活动的具体操作流程以福建省政府采购网上公开信息系统设定的为准。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⑤供应商应按照福建省政府采购网上公开信息系统要求的评审节点编制电子响应文件，否则磋商小组将按照不利于供应商的内容进行认定。</w:t>
            </w:r>
          </w:p>
          <w:p>
            <w:pPr>
              <w:pStyle w:val="null3"/>
              <w:jc w:val="left"/>
            </w:pPr>
            <w:r>
              <w:rPr/>
              <w:t>⑥关于证明材料或资料：</w:t>
            </w:r>
          </w:p>
          <w:p>
            <w:pPr>
              <w:pStyle w:val="null3"/>
              <w:jc w:val="left"/>
            </w:pPr>
            <w:r>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t>⑨参加磋商活动的供应商代表务必携带供应商的CA证书。供应商的CA证书应能正常、有效使用，否则产生不利后果由供应商承担责任。</w:t>
            </w:r>
          </w:p>
          <w:p>
            <w:pPr>
              <w:pStyle w:val="null3"/>
              <w:jc w:val="left"/>
            </w:pPr>
            <w:r>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t>⑾关于首次响应文件递交截止时间过后</w:t>
            </w:r>
          </w:p>
          <w:p>
            <w:pPr>
              <w:pStyle w:val="null3"/>
              <w:jc w:val="left"/>
            </w:pPr>
            <w:r>
              <w:rPr/>
              <w:t>a.有下列情形之一的，供应商的响应无效，其保证金不予退还或通过保函进行索赔：</w:t>
            </w:r>
          </w:p>
          <w:p>
            <w:pPr>
              <w:pStyle w:val="null3"/>
              <w:jc w:val="left"/>
            </w:pPr>
            <w:r>
              <w:rPr/>
              <w:t>a1不同供应商的电子响应文件具有相同内部识别码；</w:t>
            </w:r>
          </w:p>
          <w:p>
            <w:pPr>
              <w:pStyle w:val="null3"/>
              <w:jc w:val="left"/>
            </w:pPr>
            <w:r>
              <w:rPr/>
              <w:t>a2不同供应商的磋商保证金从同一单位或个人的账户转出；</w:t>
            </w:r>
          </w:p>
          <w:p>
            <w:pPr>
              <w:pStyle w:val="null3"/>
              <w:jc w:val="left"/>
            </w:pPr>
            <w:r>
              <w:rPr/>
              <w:t>a3供应商的磋商保证金同一合同项下有其他供应商提交的磋商保证金。</w:t>
            </w:r>
          </w:p>
          <w:p>
            <w:pPr>
              <w:pStyle w:val="null3"/>
              <w:jc w:val="left"/>
            </w:pPr>
            <w:r>
              <w:rPr/>
              <w:t>(12)其他：</w:t>
            </w:r>
          </w:p>
          <w:p>
            <w:pPr>
              <w:pStyle w:val="null3"/>
              <w:jc w:val="left"/>
            </w:pPr>
            <w:r>
              <w:rPr/>
              <w:t>a.在电子响应文件中，涉及“全称”、“单位负责人签字或盖章”和“供应商代表签字”的内容可使用打字录入方式完成。 b.在电子响应文件中，若供应商在电子响应文件中涉及“加盖单位公章”的内容使用供应商的CA证书完成，加盖其单位公章，则出现无全称、或无单位负责人签字（或盖章）或供应商代表未签字等情形，不视为响应文件无效。c.本项目执行《关于福建省财政厅关于电子化政府采购项目中视为串标情形认定与处理的指导意见》（闽财购〔2018〕30号）规定。</w:t>
            </w:r>
          </w:p>
          <w:p>
            <w:pPr>
              <w:pStyle w:val="null3"/>
              <w:jc w:val="left"/>
            </w:pPr>
            <w:r>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t>1.1采购人根据项目的特点依法组建磋商小组。</w:t>
      </w:r>
    </w:p>
    <w:p>
      <w:pPr>
        <w:pStyle w:val="null3"/>
        <w:ind w:firstLine="480"/>
        <w:jc w:val="left"/>
      </w:pPr>
      <w:r>
        <w:rPr/>
        <w:t>1.2磋商小组</w:t>
      </w:r>
    </w:p>
    <w:p>
      <w:pPr>
        <w:pStyle w:val="null3"/>
        <w:jc w:val="left"/>
      </w:pPr>
      <w:r>
        <w:rPr/>
        <w:t>由采购人代表和评审专家两部分共3人组成，</w:t>
      </w:r>
      <w:r>
        <w:rPr/>
        <w:t>其中由福建省政府采购评审专家库产生的评审专家2人，</w:t>
      </w:r>
      <w:r>
        <w:rPr/>
        <w:t>由采购人派出的采购人代表1人。</w:t>
      </w:r>
      <w:r>
        <w:rPr/>
        <w:t>技术复杂、专业性强的采购项目，评审专家中应当包含1名法律专家。</w:t>
      </w:r>
    </w:p>
    <w:p>
      <w:pPr>
        <w:pStyle w:val="null3"/>
        <w:ind w:firstLine="480"/>
        <w:jc w:val="left"/>
      </w:pPr>
      <w:r>
        <w:rPr/>
        <w:t>1.3磋商小组负责具体磋商和评审事务，并按照下列原则依法独立履行有关职责：</w:t>
      </w:r>
    </w:p>
    <w:p>
      <w:pPr>
        <w:pStyle w:val="null3"/>
        <w:ind w:firstLine="960"/>
        <w:jc w:val="left"/>
      </w:pPr>
      <w:r>
        <w:rPr/>
        <w:t>1.3.1评审应保护国家利益、社会公共利益和各方当事人合法权益，提高采购效益，保证项目质量。</w:t>
      </w:r>
    </w:p>
    <w:p>
      <w:pPr>
        <w:pStyle w:val="null3"/>
        <w:ind w:firstLine="960"/>
        <w:jc w:val="left"/>
      </w:pPr>
      <w:r>
        <w:rPr/>
        <w:t>1.3.2评审应遵循公平、公正、科学、严谨和择优原则。</w:t>
      </w:r>
    </w:p>
    <w:p>
      <w:pPr>
        <w:pStyle w:val="null3"/>
        <w:ind w:firstLine="960"/>
        <w:jc w:val="left"/>
      </w:pPr>
      <w:r>
        <w:rPr/>
        <w:t>1.3.3评审的依据是磋商文件和响应文件，磋商文件中没有规定的评审标准不得作为评审依据。</w:t>
      </w:r>
    </w:p>
    <w:p>
      <w:pPr>
        <w:pStyle w:val="null3"/>
        <w:ind w:firstLine="960"/>
        <w:jc w:val="left"/>
      </w:pPr>
      <w:r>
        <w:rPr/>
        <w:t>1.3.4磋商小组应按照磋商文件规定推荐成交候选供应商或根据采购人的授权确定成交人。</w:t>
      </w:r>
    </w:p>
    <w:p>
      <w:pPr>
        <w:pStyle w:val="null3"/>
        <w:ind w:firstLine="960"/>
        <w:jc w:val="left"/>
      </w:pPr>
      <w:r>
        <w:rPr/>
        <w:t>1.3.5评审应遵守下列评审纪律：</w:t>
      </w:r>
    </w:p>
    <w:p>
      <w:pPr>
        <w:pStyle w:val="null3"/>
        <w:ind w:firstLine="960"/>
        <w:jc w:val="left"/>
      </w:pPr>
      <w:r>
        <w:rPr/>
        <w:t>①评审情况不得私自外泄，有关信息由采购人或其委托的代理机构统一对外发布。</w:t>
      </w:r>
    </w:p>
    <w:p>
      <w:pPr>
        <w:pStyle w:val="null3"/>
        <w:ind w:firstLine="960"/>
        <w:jc w:val="left"/>
      </w:pPr>
      <w:r>
        <w:rPr/>
        <w:t>②对采购人或供应商提供的要求保密的资料，不得摘记翻印和外传。</w:t>
      </w:r>
    </w:p>
    <w:p>
      <w:pPr>
        <w:pStyle w:val="null3"/>
        <w:ind w:firstLine="960"/>
        <w:jc w:val="left"/>
      </w:pPr>
      <w:r>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t>2.1磋商程序按照磋商文件第二章第2节“竞争性磋商须知”第14 条“磋商程序以及评审标准和方法”的相关条款规定执行。</w:t>
      </w:r>
    </w:p>
    <w:p>
      <w:pPr>
        <w:pStyle w:val="null3"/>
        <w:ind w:firstLine="480"/>
        <w:jc w:val="left"/>
      </w:pPr>
      <w:r>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t>无</w:t>
      </w:r>
    </w:p>
    <w:p>
      <w:pPr>
        <w:pStyle w:val="null3"/>
        <w:ind w:firstLine="480"/>
        <w:jc w:val="left"/>
      </w:pPr>
      <w:r>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t>3.3.2具体评审标准和方法：</w:t>
      </w:r>
    </w:p>
    <w:p>
      <w:pPr>
        <w:pStyle w:val="null3"/>
        <w:ind w:firstLine="960"/>
        <w:jc w:val="left"/>
      </w:pPr>
      <w:r>
        <w:rPr/>
        <w:t xml:space="preserve">（1） </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t>（3）各项评审因素的设置如下：</w:t>
      </w:r>
    </w:p>
    <w:p>
      <w:pPr>
        <w:pStyle w:val="null3"/>
        <w:jc w:val="left"/>
      </w:pPr>
      <w:r>
        <w:rPr/>
        <w:t>采购包1：综合评分法</w:t>
      </w:r>
    </w:p>
    <w:p>
      <w:pPr>
        <w:pStyle w:val="null3"/>
        <w:jc w:val="left"/>
      </w:pPr>
      <w:r>
        <w:rPr/>
        <w:t>各项评审因素的设置如下：</w:t>
      </w:r>
    </w:p>
    <w:p>
      <w:pPr>
        <w:pStyle w:val="null3"/>
        <w:jc w:val="left"/>
      </w:pPr>
      <w:r>
        <w:rPr/>
        <w:t>报价部分评分PF 满分为10.00分</w:t>
      </w:r>
    </w:p>
    <w:p>
      <w:pPr>
        <w:pStyle w:val="null3"/>
        <w:jc w:val="left"/>
      </w:pPr>
      <w:r>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t xml:space="preserve"> 项目</w:t>
            </w:r>
          </w:p>
        </w:tc>
        <w:tc>
          <w:tcPr>
            <w:tcW w:type="dxa" w:w="1661"/>
          </w:tcPr>
          <w:p>
            <w:pPr>
              <w:pStyle w:val="null3"/>
              <w:jc w:val="left"/>
            </w:pPr>
            <w:r>
              <w:rPr/>
              <w:t xml:space="preserve"> 适用对象</w:t>
            </w:r>
          </w:p>
        </w:tc>
        <w:tc>
          <w:tcPr>
            <w:tcW w:type="dxa" w:w="831"/>
          </w:tcPr>
          <w:p>
            <w:pPr>
              <w:pStyle w:val="null3"/>
              <w:jc w:val="left"/>
            </w:pPr>
            <w:r>
              <w:rPr/>
              <w:t xml:space="preserve"> 比例</w:t>
            </w:r>
          </w:p>
        </w:tc>
        <w:tc>
          <w:tcPr>
            <w:tcW w:type="dxa" w:w="4153"/>
          </w:tcPr>
          <w:p>
            <w:pPr>
              <w:pStyle w:val="null3"/>
              <w:jc w:val="left"/>
            </w:pPr>
            <w:r>
              <w:rPr/>
              <w:t xml:space="preserve"> 描述</w:t>
            </w:r>
          </w:p>
        </w:tc>
      </w:tr>
      <w:tr>
        <w:tc>
          <w:tcPr>
            <w:tcW w:type="dxa" w:w="1661"/>
          </w:tcPr>
          <w:p>
            <w:pPr>
              <w:pStyle w:val="null3"/>
              <w:jc w:val="left"/>
            </w:pPr>
            <w:r>
              <w:rPr/>
              <w:t>小型、微型企业，监狱企业，残疾人福利性单位</w:t>
            </w:r>
          </w:p>
        </w:tc>
        <w:tc>
          <w:tcPr>
            <w:tcW w:type="dxa" w:w="1661"/>
          </w:tcPr>
          <w:p>
            <w:pPr>
              <w:pStyle w:val="null3"/>
              <w:jc w:val="left"/>
            </w:pPr>
            <w:r>
              <w:rPr/>
              <w:t>联合协议或者分包</w:t>
            </w:r>
          </w:p>
        </w:tc>
        <w:tc>
          <w:tcPr>
            <w:tcW w:type="dxa" w:w="831"/>
          </w:tcPr>
          <w:p>
            <w:pPr>
              <w:pStyle w:val="null3"/>
              <w:jc w:val="right"/>
            </w:pPr>
            <w:r>
              <w:rPr/>
              <w:t>5.00%</w:t>
            </w:r>
          </w:p>
        </w:tc>
        <w:tc>
          <w:tcPr>
            <w:tcW w:type="dxa" w:w="4153"/>
          </w:tcPr>
          <w:p>
            <w:pPr>
              <w:pStyle w:val="null3"/>
              <w:jc w:val="left"/>
            </w:pPr>
            <w:r>
              <w:rPr/>
              <w:t>1、联合协议或分包意向协议约定小微企业的合同份额占到合同总金额 30%以上的，对联合体或者大中型企业的报价给予 5%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r>
      <w:tr>
        <w:tc>
          <w:tcPr>
            <w:tcW w:type="dxa" w:w="1661"/>
          </w:tcPr>
          <w:p>
            <w:pPr>
              <w:pStyle w:val="null3"/>
              <w:jc w:val="left"/>
            </w:pPr>
            <w:r>
              <w:rPr/>
              <w:t>小型、微型企业，监狱企业，残疾人福利性单位</w:t>
            </w:r>
          </w:p>
        </w:tc>
        <w:tc>
          <w:tcPr>
            <w:tcW w:type="dxa" w:w="1661"/>
          </w:tcPr>
          <w:p>
            <w:pPr>
              <w:pStyle w:val="null3"/>
              <w:jc w:val="left"/>
            </w:pPr>
            <w:r>
              <w:rPr/>
              <w:t>供应商或者联合体均为小型、微型企业</w:t>
            </w:r>
          </w:p>
        </w:tc>
        <w:tc>
          <w:tcPr>
            <w:tcW w:type="dxa" w:w="831"/>
          </w:tcPr>
          <w:p>
            <w:pPr>
              <w:pStyle w:val="null3"/>
              <w:jc w:val="right"/>
            </w:pPr>
            <w:r>
              <w:rPr/>
              <w:t>15.00%</w:t>
            </w:r>
          </w:p>
        </w:tc>
        <w:tc>
          <w:tcPr>
            <w:tcW w:type="dxa" w:w="4153"/>
          </w:tcPr>
          <w:p>
            <w:pPr>
              <w:pStyle w:val="null3"/>
              <w:jc w:val="left"/>
            </w:pPr>
            <w:r>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4、本项目为服务类采购项目，采购标的对应的中小企业划分标准所属行业为：其他未列明行业。</w:t>
            </w:r>
          </w:p>
        </w:tc>
      </w:tr>
    </w:tbl>
    <w:p>
      <w:pPr>
        <w:pStyle w:val="null3"/>
        <w:jc w:val="left"/>
      </w:pPr>
      <w:r>
        <w:rPr/>
        <w:t>其他：无</w:t>
      </w:r>
    </w:p>
    <w:p>
      <w:pPr>
        <w:pStyle w:val="null3"/>
        <w:jc w:val="left"/>
      </w:pPr>
      <w:r>
        <w:rPr/>
        <w:t>技术部分评分PT 满分为65.00分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响应情况</w:t>
            </w:r>
          </w:p>
        </w:tc>
        <w:tc>
          <w:tcPr>
            <w:tcW w:type="dxa" w:w="831"/>
          </w:tcPr>
          <w:p>
            <w:pPr>
              <w:pStyle w:val="null3"/>
              <w:jc w:val="right"/>
            </w:pPr>
            <w:r>
              <w:rPr/>
              <w:t>33.00</w:t>
            </w:r>
          </w:p>
        </w:tc>
        <w:tc>
          <w:tcPr>
            <w:tcW w:type="dxa" w:w="4153"/>
          </w:tcPr>
          <w:p>
            <w:pPr>
              <w:pStyle w:val="null3"/>
              <w:jc w:val="left"/>
            </w:pPr>
            <w:r>
              <w:rPr/>
              <w:t>根据供应商所提供响应文件中对磋商文件《第三章 采购内容及要求》中“二、技术要求”服务条款内容的响应等方面情况，技术参数每满足一项得3分，共计11项，满分33分。正偏离不加分。</w:t>
            </w:r>
          </w:p>
        </w:tc>
      </w:tr>
      <w:tr>
        <w:tc>
          <w:tcPr>
            <w:tcW w:type="dxa" w:w="3322"/>
          </w:tcPr>
          <w:p>
            <w:pPr>
              <w:pStyle w:val="null3"/>
              <w:jc w:val="left"/>
            </w:pPr>
            <w:r>
              <w:rPr/>
              <w:t>项目理解</w:t>
            </w:r>
          </w:p>
        </w:tc>
        <w:tc>
          <w:tcPr>
            <w:tcW w:type="dxa" w:w="831"/>
          </w:tcPr>
          <w:p>
            <w:pPr>
              <w:pStyle w:val="null3"/>
              <w:jc w:val="right"/>
            </w:pPr>
            <w:r>
              <w:rPr/>
              <w:t>3.00</w:t>
            </w:r>
          </w:p>
        </w:tc>
        <w:tc>
          <w:tcPr>
            <w:tcW w:type="dxa" w:w="4153"/>
          </w:tcPr>
          <w:p>
            <w:pPr>
              <w:pStyle w:val="null3"/>
              <w:jc w:val="left"/>
            </w:pPr>
            <w:r>
              <w:rPr/>
              <w:t>根据供应商对本项目理解情况（包括但不限于：①养老服务发展现状；②养老服务前景展望等），由磋商小组进行评议：理解到位，思路清晰准确的得3分，理解可行，思路较清晰的得2.8分，理解基本可行，思路基本清晰的得2.5分，未提供的不得分。</w:t>
            </w:r>
          </w:p>
        </w:tc>
      </w:tr>
      <w:tr>
        <w:tc>
          <w:tcPr>
            <w:tcW w:type="dxa" w:w="3322"/>
          </w:tcPr>
          <w:p>
            <w:pPr>
              <w:pStyle w:val="null3"/>
              <w:jc w:val="left"/>
            </w:pPr>
            <w:r>
              <w:rPr/>
              <w:t>项目重点难点分析</w:t>
            </w:r>
          </w:p>
        </w:tc>
        <w:tc>
          <w:tcPr>
            <w:tcW w:type="dxa" w:w="831"/>
          </w:tcPr>
          <w:p>
            <w:pPr>
              <w:pStyle w:val="null3"/>
              <w:jc w:val="right"/>
            </w:pPr>
            <w:r>
              <w:rPr/>
              <w:t>3.00</w:t>
            </w:r>
          </w:p>
        </w:tc>
        <w:tc>
          <w:tcPr>
            <w:tcW w:type="dxa" w:w="4153"/>
          </w:tcPr>
          <w:p>
            <w:pPr>
              <w:pStyle w:val="null3"/>
              <w:jc w:val="left"/>
            </w:pPr>
            <w:r>
              <w:rPr/>
              <w:t>根据供应商对项目重点难点分析（包括但不限于：①重、难点分析；②重、难点提出相应措施和解决办法等），由磋商小组进行评议：方案具体、清晰、完整、可行性高，完全满足采购需求的得3分；方案合理、具备可行性，有利于保证项目的正常实施的得2.8分；方案内容一般，基本能保证采购需求的得2.5分。未提供的不得分。</w:t>
            </w:r>
          </w:p>
        </w:tc>
      </w:tr>
      <w:tr>
        <w:tc>
          <w:tcPr>
            <w:tcW w:type="dxa" w:w="3322"/>
          </w:tcPr>
          <w:p>
            <w:pPr>
              <w:pStyle w:val="null3"/>
              <w:jc w:val="left"/>
            </w:pPr>
            <w:r>
              <w:rPr/>
              <w:t>保密方案</w:t>
            </w:r>
          </w:p>
        </w:tc>
        <w:tc>
          <w:tcPr>
            <w:tcW w:type="dxa" w:w="831"/>
          </w:tcPr>
          <w:p>
            <w:pPr>
              <w:pStyle w:val="null3"/>
              <w:jc w:val="right"/>
            </w:pPr>
            <w:r>
              <w:rPr/>
              <w:t>3.00</w:t>
            </w:r>
          </w:p>
        </w:tc>
        <w:tc>
          <w:tcPr>
            <w:tcW w:type="dxa" w:w="4153"/>
          </w:tcPr>
          <w:p>
            <w:pPr>
              <w:pStyle w:val="null3"/>
              <w:jc w:val="left"/>
            </w:pPr>
            <w:r>
              <w:rPr/>
              <w:t>根据供应商对项目保密方案（包括但不限于：①保密具体内容；②保密措施等），由磋商小组进行评议：方案具体、清晰、完整、可行性高，完全满足采购需求的得3分；方案合理、具备可行性，有利于保证项目的正常实施的得2.8分；方案内容一般，基本能保证采购需求的得2.5分。未提供的不得分。</w:t>
            </w:r>
          </w:p>
        </w:tc>
      </w:tr>
      <w:tr>
        <w:tc>
          <w:tcPr>
            <w:tcW w:type="dxa" w:w="3322"/>
          </w:tcPr>
          <w:p>
            <w:pPr>
              <w:pStyle w:val="null3"/>
              <w:jc w:val="left"/>
            </w:pPr>
            <w:r>
              <w:rPr/>
              <w:t>进度控制方案</w:t>
            </w:r>
          </w:p>
        </w:tc>
        <w:tc>
          <w:tcPr>
            <w:tcW w:type="dxa" w:w="831"/>
          </w:tcPr>
          <w:p>
            <w:pPr>
              <w:pStyle w:val="null3"/>
              <w:jc w:val="right"/>
            </w:pPr>
            <w:r>
              <w:rPr/>
              <w:t>3.00</w:t>
            </w:r>
          </w:p>
        </w:tc>
        <w:tc>
          <w:tcPr>
            <w:tcW w:type="dxa" w:w="4153"/>
          </w:tcPr>
          <w:p>
            <w:pPr>
              <w:pStyle w:val="null3"/>
              <w:jc w:val="left"/>
            </w:pPr>
            <w:r>
              <w:rPr/>
              <w:t>根据供应商对项目保密方案（包括但不限于：①总进度计划；②进度控制措施等），由磋商小组进行评议：方案具体、清晰、完整、可行性高，完全满足采购需求的得3分；方案合理、具备可行性，有利于保证项目的正常实施的得2.8分；方案内容一般，基本能保证采购需求的得2.5分。未提供的不得分。</w:t>
            </w:r>
          </w:p>
        </w:tc>
      </w:tr>
      <w:tr>
        <w:tc>
          <w:tcPr>
            <w:tcW w:type="dxa" w:w="3322"/>
          </w:tcPr>
          <w:p>
            <w:pPr>
              <w:pStyle w:val="null3"/>
              <w:jc w:val="left"/>
            </w:pPr>
            <w:r>
              <w:rPr/>
              <w:t>评估方案调查表格设计</w:t>
            </w:r>
          </w:p>
        </w:tc>
        <w:tc>
          <w:tcPr>
            <w:tcW w:type="dxa" w:w="831"/>
          </w:tcPr>
          <w:p>
            <w:pPr>
              <w:pStyle w:val="null3"/>
              <w:jc w:val="right"/>
            </w:pPr>
            <w:r>
              <w:rPr/>
              <w:t>3.00</w:t>
            </w:r>
          </w:p>
        </w:tc>
        <w:tc>
          <w:tcPr>
            <w:tcW w:type="dxa" w:w="4153"/>
          </w:tcPr>
          <w:p>
            <w:pPr>
              <w:pStyle w:val="null3"/>
              <w:jc w:val="left"/>
            </w:pPr>
            <w:r>
              <w:rPr/>
              <w:t>根据供应商设计的面向“（一）养老服务等级评定”的调查表设计的合理、重点突出情况进行评分，设计合理，重点突出的得3分，设计较合理，重点较突出的得2.8分，设计基本合理，重点有缺漏的得2.5分，未提供的不得分。</w:t>
            </w:r>
          </w:p>
        </w:tc>
      </w:tr>
      <w:tr>
        <w:tc>
          <w:tcPr>
            <w:tcW w:type="dxa" w:w="3322"/>
          </w:tcPr>
          <w:p>
            <w:pPr>
              <w:pStyle w:val="null3"/>
              <w:jc w:val="left"/>
            </w:pPr>
            <w:r>
              <w:rPr/>
              <w:t>评估方案调查表格设计</w:t>
            </w:r>
          </w:p>
        </w:tc>
        <w:tc>
          <w:tcPr>
            <w:tcW w:type="dxa" w:w="831"/>
          </w:tcPr>
          <w:p>
            <w:pPr>
              <w:pStyle w:val="null3"/>
              <w:jc w:val="right"/>
            </w:pPr>
            <w:r>
              <w:rPr/>
              <w:t>3.00</w:t>
            </w:r>
          </w:p>
        </w:tc>
        <w:tc>
          <w:tcPr>
            <w:tcW w:type="dxa" w:w="4153"/>
          </w:tcPr>
          <w:p>
            <w:pPr>
              <w:pStyle w:val="null3"/>
              <w:jc w:val="left"/>
            </w:pPr>
            <w:r>
              <w:rPr/>
              <w:t>根据供应商设计的面向“（二）养老服务质量评估”的调查表格设计的直观程度，合理程度、完整性进行评分，设计符合项目实际要求，可行性强的得3分，设计较合理，可行性较强的得2.8分，设计基本合理，可行性一般的得2.5分，未提供的不得分。</w:t>
            </w:r>
          </w:p>
        </w:tc>
      </w:tr>
      <w:tr>
        <w:tc>
          <w:tcPr>
            <w:tcW w:type="dxa" w:w="3322"/>
          </w:tcPr>
          <w:p>
            <w:pPr>
              <w:pStyle w:val="null3"/>
              <w:jc w:val="left"/>
            </w:pPr>
            <w:r>
              <w:rPr/>
              <w:t>评估方案调查表格设计</w:t>
            </w:r>
          </w:p>
        </w:tc>
        <w:tc>
          <w:tcPr>
            <w:tcW w:type="dxa" w:w="831"/>
          </w:tcPr>
          <w:p>
            <w:pPr>
              <w:pStyle w:val="null3"/>
              <w:jc w:val="right"/>
            </w:pPr>
            <w:r>
              <w:rPr/>
              <w:t>3.00</w:t>
            </w:r>
          </w:p>
        </w:tc>
        <w:tc>
          <w:tcPr>
            <w:tcW w:type="dxa" w:w="4153"/>
          </w:tcPr>
          <w:p>
            <w:pPr>
              <w:pStyle w:val="null3"/>
              <w:jc w:val="left"/>
            </w:pPr>
            <w:r>
              <w:rPr/>
              <w:t>根据供应商设计的面向“（四）城乡养老服务发展指数第三方评价”的调查表格设计的直观程度，合理程度进行评分，设计符合项目实际要求，可行性强的得3分，设计较合理，可行性较强的得2.8分，设计基本合理，可行性一般的得2.5分，未提供的不得分。</w:t>
            </w:r>
          </w:p>
        </w:tc>
      </w:tr>
      <w:tr>
        <w:tc>
          <w:tcPr>
            <w:tcW w:type="dxa" w:w="3322"/>
          </w:tcPr>
          <w:p>
            <w:pPr>
              <w:pStyle w:val="null3"/>
              <w:jc w:val="left"/>
            </w:pPr>
            <w:r>
              <w:rPr/>
              <w:t>评估方案调查表格设计</w:t>
            </w:r>
          </w:p>
        </w:tc>
        <w:tc>
          <w:tcPr>
            <w:tcW w:type="dxa" w:w="831"/>
          </w:tcPr>
          <w:p>
            <w:pPr>
              <w:pStyle w:val="null3"/>
              <w:jc w:val="right"/>
            </w:pPr>
            <w:r>
              <w:rPr/>
              <w:t>3.00</w:t>
            </w:r>
          </w:p>
        </w:tc>
        <w:tc>
          <w:tcPr>
            <w:tcW w:type="dxa" w:w="4153"/>
          </w:tcPr>
          <w:p>
            <w:pPr>
              <w:pStyle w:val="null3"/>
              <w:jc w:val="left"/>
            </w:pPr>
            <w:r>
              <w:rPr/>
              <w:t>根据供应商设计的面向“（五）开展政策落实情况评估”的调查表格设计的直观程度，合理程度进行评分，设计符合项目实际要求，可行性强的得3分，设计较合理，可行性较强的得2.8分，设计基本合理，可行性一般的得2.5分，未提供的不得分。</w:t>
            </w:r>
          </w:p>
        </w:tc>
      </w:tr>
      <w:tr>
        <w:tc>
          <w:tcPr>
            <w:tcW w:type="dxa" w:w="3322"/>
          </w:tcPr>
          <w:p>
            <w:pPr>
              <w:pStyle w:val="null3"/>
              <w:jc w:val="left"/>
            </w:pPr>
            <w:r>
              <w:rPr/>
              <w:t>实施方案</w:t>
            </w:r>
          </w:p>
        </w:tc>
        <w:tc>
          <w:tcPr>
            <w:tcW w:type="dxa" w:w="831"/>
          </w:tcPr>
          <w:p>
            <w:pPr>
              <w:pStyle w:val="null3"/>
              <w:jc w:val="right"/>
            </w:pPr>
            <w:r>
              <w:rPr/>
              <w:t>3.00</w:t>
            </w:r>
          </w:p>
        </w:tc>
        <w:tc>
          <w:tcPr>
            <w:tcW w:type="dxa" w:w="4153"/>
          </w:tcPr>
          <w:p>
            <w:pPr>
              <w:pStyle w:val="null3"/>
              <w:jc w:val="left"/>
            </w:pPr>
            <w:r>
              <w:rPr/>
              <w:t>根据供应商对项目实施方案（包括但不限于：①整体实施内容；②项目关键点设置；③实地检查路线安排等），由磋商小组进行评议：方案具体、清晰、完整、可行性高，完全满足采购需求的得3分；方案合理、具备可行性，有利于保证项目的正常实施的得2.5分；方案内容一般，基本能保证采购需求的得1分。未提供的不得分。</w:t>
            </w:r>
          </w:p>
        </w:tc>
      </w:tr>
      <w:tr>
        <w:tc>
          <w:tcPr>
            <w:tcW w:type="dxa" w:w="3322"/>
          </w:tcPr>
          <w:p>
            <w:pPr>
              <w:pStyle w:val="null3"/>
              <w:jc w:val="left"/>
            </w:pPr>
            <w:r>
              <w:rPr/>
              <w:t>实施方案</w:t>
            </w:r>
          </w:p>
        </w:tc>
        <w:tc>
          <w:tcPr>
            <w:tcW w:type="dxa" w:w="831"/>
          </w:tcPr>
          <w:p>
            <w:pPr>
              <w:pStyle w:val="null3"/>
              <w:jc w:val="right"/>
            </w:pPr>
            <w:r>
              <w:rPr/>
              <w:t>3.00</w:t>
            </w:r>
          </w:p>
        </w:tc>
        <w:tc>
          <w:tcPr>
            <w:tcW w:type="dxa" w:w="4153"/>
          </w:tcPr>
          <w:p>
            <w:pPr>
              <w:pStyle w:val="null3"/>
              <w:jc w:val="left"/>
            </w:pPr>
            <w:r>
              <w:rPr/>
              <w:t>根据供应商实施方案各阶段主题突出、衔接紧密、设计合理、操作性强等情况进行评分，各阶段主题突出、衔接紧密、设计合理、操作性强的得3分，各阶段主题较突出、衔接较紧密、设计较合理、操作性较强的得2.5分，各阶段主题有缺陷、衔接不够紧密、设计基本合理、操作性不强的得1分，未提供的不得分。</w:t>
            </w:r>
          </w:p>
        </w:tc>
      </w:tr>
      <w:tr>
        <w:tc>
          <w:tcPr>
            <w:tcW w:type="dxa" w:w="3322"/>
          </w:tcPr>
          <w:p>
            <w:pPr>
              <w:pStyle w:val="null3"/>
              <w:jc w:val="left"/>
            </w:pPr>
            <w:r>
              <w:rPr/>
              <w:t>实施方案</w:t>
            </w:r>
          </w:p>
        </w:tc>
        <w:tc>
          <w:tcPr>
            <w:tcW w:type="dxa" w:w="831"/>
          </w:tcPr>
          <w:p>
            <w:pPr>
              <w:pStyle w:val="null3"/>
              <w:jc w:val="right"/>
            </w:pPr>
            <w:r>
              <w:rPr/>
              <w:t>2.00</w:t>
            </w:r>
          </w:p>
        </w:tc>
        <w:tc>
          <w:tcPr>
            <w:tcW w:type="dxa" w:w="4153"/>
          </w:tcPr>
          <w:p>
            <w:pPr>
              <w:pStyle w:val="null3"/>
              <w:jc w:val="left"/>
            </w:pPr>
            <w:r>
              <w:rPr/>
              <w:t xml:space="preserve">根据供应商对项目评估标准（包括但不限于：①评估具体内容；②各项内容评估标准等），由磋商小组进行评议：把握准确、设计合理等情况进行评分，把握准确、设计合理的得2分，把握较准确、设计较合理的得1分，把握基本准确、设计基本合理的得0.5分，未提供的不得分。 </w:t>
            </w:r>
          </w:p>
        </w:tc>
      </w:tr>
    </w:tbl>
    <w:p>
      <w:pPr>
        <w:pStyle w:val="null3"/>
        <w:jc w:val="left"/>
      </w:pPr>
      <w:r>
        <w:rPr/>
        <w:t>商务部分评分PB 满分为25.00分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业绩</w:t>
            </w:r>
          </w:p>
        </w:tc>
        <w:tc>
          <w:tcPr>
            <w:tcW w:type="dxa" w:w="831"/>
          </w:tcPr>
          <w:p>
            <w:pPr>
              <w:pStyle w:val="null3"/>
              <w:jc w:val="right"/>
            </w:pPr>
            <w:r>
              <w:rPr/>
              <w:t>3.00</w:t>
            </w:r>
          </w:p>
        </w:tc>
        <w:tc>
          <w:tcPr>
            <w:tcW w:type="dxa" w:w="4153"/>
          </w:tcPr>
          <w:p>
            <w:pPr>
              <w:pStyle w:val="null3"/>
              <w:jc w:val="left"/>
            </w:pPr>
            <w:r>
              <w:rPr/>
              <w:t>根据供应商所提供2020年1月1日以来（日期以合同签订日期为准）承接过相关业绩的，每提供一份业绩得1分，满分3分。注：须提供中标公告（提供相关网站中标公告的下载网页并注明网址）、中标通知书复印件、采购合同文本复印件，以及能够证明该业绩项目已经采购人验收合格的验收文件复印件。所提供文件如不能详细看清以上内容或所提供的证明材料前后不对应，则不得分；如提供虚假业绩，经核实，则视为无效投标。</w:t>
            </w:r>
          </w:p>
        </w:tc>
      </w:tr>
      <w:tr>
        <w:tc>
          <w:tcPr>
            <w:tcW w:type="dxa" w:w="3322"/>
          </w:tcPr>
          <w:p>
            <w:pPr>
              <w:pStyle w:val="null3"/>
              <w:jc w:val="left"/>
            </w:pPr>
            <w:r>
              <w:rPr/>
              <w:t>满意度评价</w:t>
            </w:r>
          </w:p>
        </w:tc>
        <w:tc>
          <w:tcPr>
            <w:tcW w:type="dxa" w:w="831"/>
          </w:tcPr>
          <w:p>
            <w:pPr>
              <w:pStyle w:val="null3"/>
              <w:jc w:val="right"/>
            </w:pPr>
            <w:r>
              <w:rPr/>
              <w:t>3.00</w:t>
            </w:r>
          </w:p>
        </w:tc>
        <w:tc>
          <w:tcPr>
            <w:tcW w:type="dxa" w:w="4153"/>
          </w:tcPr>
          <w:p>
            <w:pPr>
              <w:pStyle w:val="null3"/>
              <w:jc w:val="left"/>
            </w:pPr>
            <w:r>
              <w:rPr/>
              <w:t>根据供应商提供近2020年1月1日以来（日期以证明材料的出具时间为准）自身完成的以往项目用户服务反馈评价情况打分：每提供1份获得项目用户服务认可（评价为优秀或者满意）的证明材料的得1分，满分3分，未提供相应有效证明材料的不得分。（项目不得与业绩项重复）</w:t>
            </w:r>
          </w:p>
        </w:tc>
      </w:tr>
      <w:tr>
        <w:tc>
          <w:tcPr>
            <w:tcW w:type="dxa" w:w="3322"/>
          </w:tcPr>
          <w:p>
            <w:pPr>
              <w:pStyle w:val="null3"/>
              <w:jc w:val="left"/>
            </w:pPr>
            <w:r>
              <w:rPr/>
              <w:t>项目团队</w:t>
            </w:r>
          </w:p>
        </w:tc>
        <w:tc>
          <w:tcPr>
            <w:tcW w:type="dxa" w:w="831"/>
          </w:tcPr>
          <w:p>
            <w:pPr>
              <w:pStyle w:val="null3"/>
              <w:jc w:val="right"/>
            </w:pPr>
            <w:r>
              <w:rPr/>
              <w:t>3.00</w:t>
            </w:r>
          </w:p>
        </w:tc>
        <w:tc>
          <w:tcPr>
            <w:tcW w:type="dxa" w:w="4153"/>
          </w:tcPr>
          <w:p>
            <w:pPr>
              <w:pStyle w:val="null3"/>
              <w:jc w:val="left"/>
            </w:pPr>
            <w:r>
              <w:rPr/>
              <w:t>根据供应商拟配备的项目经理1人，①具有统计学专业全日制本科学历的得1分；②具有中级统计师职称证书的得1分；③有负责过政府统计调查项目的得1分；满分3分。【注：须提供证书复印件、学历证书复印件，学历证明的网上查询结果截图、供应商为其缴纳近6个月（不含投标截止当月）任意一月社保证明材料、项目合同复印件（合同中项目经理名字）以及项目中标公告（提供相关网站中标公告的下载网页并注明网址），未提供或提供不全的不得分。拟投入人员为同一个人的，不重复得分。】</w:t>
            </w:r>
          </w:p>
        </w:tc>
      </w:tr>
      <w:tr>
        <w:tc>
          <w:tcPr>
            <w:tcW w:type="dxa" w:w="3322"/>
          </w:tcPr>
          <w:p>
            <w:pPr>
              <w:pStyle w:val="null3"/>
              <w:jc w:val="left"/>
            </w:pPr>
            <w:r>
              <w:rPr/>
              <w:t>项目团队</w:t>
            </w:r>
          </w:p>
        </w:tc>
        <w:tc>
          <w:tcPr>
            <w:tcW w:type="dxa" w:w="831"/>
          </w:tcPr>
          <w:p>
            <w:pPr>
              <w:pStyle w:val="null3"/>
              <w:jc w:val="right"/>
            </w:pPr>
            <w:r>
              <w:rPr/>
              <w:t>3.00</w:t>
            </w:r>
          </w:p>
        </w:tc>
        <w:tc>
          <w:tcPr>
            <w:tcW w:type="dxa" w:w="4153"/>
          </w:tcPr>
          <w:p>
            <w:pPr>
              <w:pStyle w:val="null3"/>
              <w:jc w:val="left"/>
            </w:pPr>
            <w:r>
              <w:rPr/>
              <w:t>根据供应商拟配备的评估员1人，①具有全日制本科学历的得1分；②具有中级统计师职称证书的得1分；③有负责过评估或者调研政府项目的的得1分；满分3分。【注：须提供证书复印件、学历证书复印件，学历证明的网上查询结果截图、供应商为其缴纳近6个月（不含投标截止当月）任意一月社保证明材料、项目合同复印件（合同中需体现评估员名字）以及项目中标公告（提供相关网站中标公告的下载网页并注明网址），未提供或提供不全的不得分。拟投入人员为同一个人的，不重复得分。】</w:t>
            </w:r>
          </w:p>
        </w:tc>
      </w:tr>
      <w:tr>
        <w:tc>
          <w:tcPr>
            <w:tcW w:type="dxa" w:w="3322"/>
          </w:tcPr>
          <w:p>
            <w:pPr>
              <w:pStyle w:val="null3"/>
              <w:jc w:val="left"/>
            </w:pPr>
            <w:r>
              <w:rPr/>
              <w:t>项目团队</w:t>
            </w:r>
          </w:p>
        </w:tc>
        <w:tc>
          <w:tcPr>
            <w:tcW w:type="dxa" w:w="831"/>
          </w:tcPr>
          <w:p>
            <w:pPr>
              <w:pStyle w:val="null3"/>
              <w:jc w:val="right"/>
            </w:pPr>
            <w:r>
              <w:rPr/>
              <w:t>2.00</w:t>
            </w:r>
          </w:p>
        </w:tc>
        <w:tc>
          <w:tcPr>
            <w:tcW w:type="dxa" w:w="4153"/>
          </w:tcPr>
          <w:p>
            <w:pPr>
              <w:pStyle w:val="null3"/>
              <w:jc w:val="left"/>
            </w:pPr>
            <w:r>
              <w:rPr/>
              <w:t>根据供应商拟配备的研究员1人，①具有大数据分析师（中级）证书1分；②有负责过政府调查项目至少3次以上的得1分；满分2分，否则不得分。【注：须提供证书复印件、供应商为其缴纳近6个月（不含投标截止当月）任意一月社保证明材料、项目合同复印件（合同中需体现研究员名字）未提供或提供不全的不得分。拟投入人员为同一个人的，不重复得分。】</w:t>
            </w:r>
          </w:p>
        </w:tc>
      </w:tr>
      <w:tr>
        <w:tc>
          <w:tcPr>
            <w:tcW w:type="dxa" w:w="3322"/>
          </w:tcPr>
          <w:p>
            <w:pPr>
              <w:pStyle w:val="null3"/>
              <w:jc w:val="left"/>
            </w:pPr>
            <w:r>
              <w:rPr/>
              <w:t>项目团队</w:t>
            </w:r>
          </w:p>
        </w:tc>
        <w:tc>
          <w:tcPr>
            <w:tcW w:type="dxa" w:w="831"/>
          </w:tcPr>
          <w:p>
            <w:pPr>
              <w:pStyle w:val="null3"/>
              <w:jc w:val="right"/>
            </w:pPr>
            <w:r>
              <w:rPr/>
              <w:t>3.00</w:t>
            </w:r>
          </w:p>
        </w:tc>
        <w:tc>
          <w:tcPr>
            <w:tcW w:type="dxa" w:w="4153"/>
          </w:tcPr>
          <w:p>
            <w:pPr>
              <w:pStyle w:val="null3"/>
              <w:jc w:val="left"/>
            </w:pPr>
            <w:r>
              <w:rPr/>
              <w:t>根据供应商为本项目拟配备的项目团队中固定工作人员中有全日制本科学历的3人及以上的得3分，满分3分。注：提供学历证书复印件、学历证明的网上查询结果截图、供应商为其缴纳近6个月（不含投标截止当月）任意一月社保证明材料。拟投入人员为同一个人的，不重复得分。</w:t>
            </w:r>
          </w:p>
        </w:tc>
      </w:tr>
      <w:tr>
        <w:tc>
          <w:tcPr>
            <w:tcW w:type="dxa" w:w="3322"/>
          </w:tcPr>
          <w:p>
            <w:pPr>
              <w:pStyle w:val="null3"/>
              <w:jc w:val="left"/>
            </w:pPr>
            <w:r>
              <w:rPr/>
              <w:t>沟通协调承诺</w:t>
            </w:r>
          </w:p>
        </w:tc>
        <w:tc>
          <w:tcPr>
            <w:tcW w:type="dxa" w:w="831"/>
          </w:tcPr>
          <w:p>
            <w:pPr>
              <w:pStyle w:val="null3"/>
              <w:jc w:val="right"/>
            </w:pPr>
            <w:r>
              <w:rPr/>
              <w:t>2.00</w:t>
            </w:r>
          </w:p>
        </w:tc>
        <w:tc>
          <w:tcPr>
            <w:tcW w:type="dxa" w:w="4153"/>
          </w:tcPr>
          <w:p>
            <w:pPr>
              <w:pStyle w:val="null3"/>
              <w:jc w:val="left"/>
            </w:pPr>
            <w:r>
              <w:rPr/>
              <w:t>供应商承诺针对本项目各环节与采购人及时沟通协调、各环节时间节点及时反馈的得2分；须提供承诺函（格式自拟），未提供的不得分。</w:t>
            </w:r>
          </w:p>
        </w:tc>
      </w:tr>
      <w:tr>
        <w:tc>
          <w:tcPr>
            <w:tcW w:type="dxa" w:w="3322"/>
          </w:tcPr>
          <w:p>
            <w:pPr>
              <w:pStyle w:val="null3"/>
              <w:jc w:val="left"/>
            </w:pPr>
            <w:r>
              <w:rPr/>
              <w:t>指导专家</w:t>
            </w:r>
          </w:p>
        </w:tc>
        <w:tc>
          <w:tcPr>
            <w:tcW w:type="dxa" w:w="831"/>
          </w:tcPr>
          <w:p>
            <w:pPr>
              <w:pStyle w:val="null3"/>
              <w:jc w:val="right"/>
            </w:pPr>
            <w:r>
              <w:rPr/>
              <w:t>3.00</w:t>
            </w:r>
          </w:p>
        </w:tc>
        <w:tc>
          <w:tcPr>
            <w:tcW w:type="dxa" w:w="4153"/>
          </w:tcPr>
          <w:p>
            <w:pPr>
              <w:pStyle w:val="null3"/>
              <w:jc w:val="left"/>
            </w:pPr>
            <w:r>
              <w:rPr/>
              <w:t>根据供应商配备的养老行业指导专家情况进行评议：在入选市级及以上政府民政单位组建的专家库基础上，有以第一作者身份发表或者出版过养老相关的文献或书籍的，每提供一项得1分，满分3分。注：须提供专家库名单公示证明材料复印件、发表文献或者书籍的截图或者复印件（需体现第一作者姓名），未提供或者提供不全的不得分。</w:t>
            </w:r>
          </w:p>
        </w:tc>
      </w:tr>
      <w:tr>
        <w:tc>
          <w:tcPr>
            <w:tcW w:type="dxa" w:w="3322"/>
          </w:tcPr>
          <w:p>
            <w:pPr>
              <w:pStyle w:val="null3"/>
              <w:jc w:val="left"/>
            </w:pPr>
            <w:r>
              <w:rPr/>
              <w:t>技术支持</w:t>
            </w:r>
          </w:p>
        </w:tc>
        <w:tc>
          <w:tcPr>
            <w:tcW w:type="dxa" w:w="831"/>
          </w:tcPr>
          <w:p>
            <w:pPr>
              <w:pStyle w:val="null3"/>
              <w:jc w:val="right"/>
            </w:pPr>
            <w:r>
              <w:rPr/>
              <w:t>3.00</w:t>
            </w:r>
          </w:p>
        </w:tc>
        <w:tc>
          <w:tcPr>
            <w:tcW w:type="dxa" w:w="4153"/>
          </w:tcPr>
          <w:p>
            <w:pPr>
              <w:pStyle w:val="null3"/>
              <w:jc w:val="left"/>
            </w:pPr>
            <w:r>
              <w:rPr/>
              <w:t>根据供应商具有数据调研分析、养老服务机构质量评估、数据稽核服务相关的软件著作权的每一项得1分，须提供软件著作权证书复印件（证书需体现供应商名称），未提供的不得分，满分3分。</w:t>
            </w:r>
          </w:p>
        </w:tc>
      </w:tr>
    </w:tbl>
    <w:p>
      <w:pPr>
        <w:pStyle w:val="null3"/>
        <w:jc w:val="left"/>
      </w:pPr>
      <w:r>
        <w:rPr/>
        <w:t>根据政府采购政策可享有的加分优惠评分PE</w:t>
      </w:r>
    </w:p>
    <w:p>
      <w:pPr>
        <w:pStyle w:val="null3"/>
        <w:jc w:val="left"/>
      </w:pPr>
      <w:r>
        <w:rPr/>
        <w:t>优先类节能产品、环境标志产品：无</w:t>
      </w:r>
    </w:p>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ind w:firstLine="480"/>
        <w:jc w:val="left"/>
      </w:pPr>
      <w:r>
        <w:rPr/>
        <w:t>无</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r>
        <w:rPr/>
        <w:t>无</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 xml:space="preserve">10.1.3其他形式： </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不满足竞争性磋商文件《第三章 采购内容及要求》中“二、技术要求”部分带“★”号的条款或注明响应无效的条款的，按无效响应处理。</w:t>
            </w:r>
          </w:p>
        </w:tc>
      </w:tr>
      <w:tr>
        <w:tc>
          <w:tcPr>
            <w:tcW w:type="dxa" w:w="4153"/>
          </w:tcPr>
          <w:p>
            <w:pPr>
              <w:pStyle w:val="null3"/>
              <w:jc w:val="left"/>
            </w:pPr>
            <w:r>
              <w:rPr/>
              <w:t>其他情形</w:t>
            </w:r>
          </w:p>
        </w:tc>
        <w:tc>
          <w:tcPr>
            <w:tcW w:type="dxa" w:w="4153"/>
          </w:tcPr>
          <w:p>
            <w:pPr>
              <w:pStyle w:val="null3"/>
              <w:jc w:val="left"/>
            </w:pPr>
            <w:r>
              <w:rPr/>
              <w:t>不符合竞争性磋商文件《第三章 采购内容及要求》中规定的其他实质性条款要求或出现竞争性磋商文件中规定的其他无效响应条款情形的，按无效响应处理。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不满足竞争性磋商文件《第三章 采购内容及要求》中“三、商务条件”中任何一项要求的，按无效响应处理。</w:t>
            </w:r>
          </w:p>
        </w:tc>
      </w:tr>
      <w:tr>
        <w:tc>
          <w:tcPr>
            <w:tcW w:type="dxa" w:w="4153"/>
          </w:tcPr>
          <w:p>
            <w:pPr>
              <w:pStyle w:val="null3"/>
              <w:jc w:val="left"/>
            </w:pPr>
            <w:r>
              <w:rPr/>
              <w:t>其他情形</w:t>
            </w:r>
          </w:p>
        </w:tc>
        <w:tc>
          <w:tcPr>
            <w:tcW w:type="dxa" w:w="4153"/>
          </w:tcPr>
          <w:p>
            <w:pPr>
              <w:pStyle w:val="null3"/>
              <w:jc w:val="left"/>
            </w:pPr>
            <w:r>
              <w:rPr/>
              <w:t>不符合《第三章 采购内容及要求》中规定的其他实质性条款要求或出现竞争性磋商文件中规定的其他无效响应条款情形的，按无效响应处理。</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供应商提交的是可选择的报价的，按无效响应处理。</w:t>
            </w:r>
          </w:p>
        </w:tc>
      </w:tr>
      <w:tr>
        <w:tc>
          <w:tcPr>
            <w:tcW w:type="dxa" w:w="4153"/>
          </w:tcPr>
          <w:p>
            <w:pPr>
              <w:pStyle w:val="null3"/>
              <w:jc w:val="left"/>
            </w:pPr>
            <w:r>
              <w:rPr/>
              <w:t>其他情形</w:t>
            </w:r>
          </w:p>
        </w:tc>
        <w:tc>
          <w:tcPr>
            <w:tcW w:type="dxa" w:w="4153"/>
          </w:tcPr>
          <w:p>
            <w:pPr>
              <w:pStyle w:val="null3"/>
              <w:jc w:val="left"/>
            </w:pPr>
            <w:r>
              <w:rPr/>
              <w:t>供应商的报价超过最高限价的，按无效响应处理。</w:t>
            </w:r>
          </w:p>
        </w:tc>
      </w:tr>
      <w:tr>
        <w:tc>
          <w:tcPr>
            <w:tcW w:type="dxa" w:w="4153"/>
          </w:tcPr>
          <w:p>
            <w:pPr>
              <w:pStyle w:val="null3"/>
              <w:jc w:val="left"/>
            </w:pPr>
            <w:r>
              <w:rPr/>
              <w:t>其他情形</w:t>
            </w:r>
          </w:p>
        </w:tc>
        <w:tc>
          <w:tcPr>
            <w:tcW w:type="dxa" w:w="4153"/>
          </w:tcPr>
          <w:p>
            <w:pPr>
              <w:pStyle w:val="null3"/>
              <w:jc w:val="left"/>
            </w:pPr>
            <w:r>
              <w:rPr/>
              <w:t>磋商小组认为供应商的报价明显低于其他通过符合性审查供应商的报价，有可能影响产品质量或不能诚信履约的，供应商未在合理的时间内提供书面说明或不能证明其报价合理性的，按无效响应处理。</w:t>
            </w:r>
          </w:p>
        </w:tc>
      </w:tr>
    </w:tbl>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outlineLvl w:val="2"/>
      </w:pPr>
      <w:r>
        <w:rPr>
          <w:b/>
          <w:sz w:val="28"/>
        </w:rPr>
        <w:t>五、合同授予</w:t>
      </w:r>
    </w:p>
    <w:p>
      <w:pPr>
        <w:pStyle w:val="null3"/>
      </w:pPr>
      <w:r>
        <w:rPr/>
        <w:t xml:space="preserve"> </w:t>
        <w:br/>
        <w:br w:type="page"/>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26.1根据采购项目特点或政策需要补充的其他新增内容详见竞争性磋商须知前附表第12项。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r>
        <w:rPr/>
        <w:t>本项目为福建省民政厅的养老服务质量评估评价。</w:t>
      </w:r>
    </w:p>
    <w:p>
      <w:pPr>
        <w:pStyle w:val="null3"/>
        <w:jc w:val="left"/>
        <w:outlineLvl w:val="2"/>
      </w:pPr>
      <w:r>
        <w:rPr>
          <w:b/>
          <w:sz w:val="28"/>
        </w:rPr>
        <w:t>二、技术要求</w:t>
      </w:r>
    </w:p>
    <w:p>
      <w:pPr>
        <w:pStyle w:val="null3"/>
        <w:jc w:val="left"/>
      </w:pPr>
      <w:r>
        <w:rPr>
          <w:rFonts w:ascii="宋体" w:hAnsi="宋体" w:cs="宋体" w:eastAsia="宋体"/>
          <w:sz w:val="24"/>
        </w:rPr>
        <w:t>（一）养老服务等级评定</w:t>
      </w:r>
    </w:p>
    <w:p>
      <w:pPr>
        <w:pStyle w:val="null3"/>
        <w:ind w:firstLine="480"/>
      </w:pPr>
      <w:r>
        <w:rPr>
          <w:rFonts w:ascii="宋体" w:hAnsi="宋体" w:cs="宋体" w:eastAsia="宋体"/>
          <w:sz w:val="24"/>
        </w:rPr>
        <w:t>对各地申报的五星级养老机构、居家社区养老服务照料中心、农村幸福院等开展实地评定，对有效期内的五星级养老机构、照料中心、农村幸福院进行抽查。（评审项</w:t>
      </w:r>
      <w:r>
        <w:rPr>
          <w:rFonts w:ascii="calibri" w:hAnsi="calibri" w:cs="calibri" w:eastAsia="calibri"/>
          <w:sz w:val="24"/>
        </w:rPr>
        <w:t>1</w:t>
      </w:r>
      <w:r>
        <w:rPr>
          <w:rFonts w:ascii="宋体" w:hAnsi="宋体" w:cs="宋体" w:eastAsia="宋体"/>
          <w:sz w:val="24"/>
        </w:rPr>
        <w:t>）</w:t>
      </w:r>
    </w:p>
    <w:p>
      <w:pPr>
        <w:pStyle w:val="null3"/>
        <w:ind w:firstLine="480"/>
      </w:pPr>
      <w:r>
        <w:rPr>
          <w:rFonts w:ascii="宋体" w:hAnsi="宋体" w:cs="宋体" w:eastAsia="宋体"/>
          <w:sz w:val="24"/>
        </w:rPr>
        <w:t>评估依据：《养老机构等级划分与评定》（</w:t>
      </w:r>
      <w:r>
        <w:rPr>
          <w:rFonts w:ascii="calibri" w:hAnsi="calibri" w:cs="calibri" w:eastAsia="calibri"/>
          <w:sz w:val="24"/>
        </w:rPr>
        <w:t>GB/T37276-2018</w:t>
      </w:r>
      <w:r>
        <w:rPr>
          <w:rFonts w:ascii="宋体" w:hAnsi="宋体" w:cs="宋体" w:eastAsia="宋体"/>
          <w:sz w:val="24"/>
        </w:rPr>
        <w:t>）《〈养老机构等级划分与评定〉国家标准实施指南（试行）》《福建省社区居家养老服务照料中心星级评定暂行办法》（闽民福〔</w:t>
      </w:r>
      <w:r>
        <w:rPr>
          <w:rFonts w:ascii="calibri" w:hAnsi="calibri" w:cs="calibri" w:eastAsia="calibri"/>
          <w:sz w:val="24"/>
        </w:rPr>
        <w:t>2017</w:t>
      </w:r>
      <w:r>
        <w:rPr>
          <w:rFonts w:ascii="宋体" w:hAnsi="宋体" w:cs="宋体" w:eastAsia="宋体"/>
          <w:sz w:val="24"/>
        </w:rPr>
        <w:t>〕</w:t>
      </w:r>
      <w:r>
        <w:rPr>
          <w:rFonts w:ascii="calibri" w:hAnsi="calibri" w:cs="calibri" w:eastAsia="calibri"/>
          <w:sz w:val="24"/>
        </w:rPr>
        <w:t>66</w:t>
      </w:r>
      <w:r>
        <w:rPr>
          <w:rFonts w:ascii="宋体" w:hAnsi="宋体" w:cs="宋体" w:eastAsia="宋体"/>
          <w:sz w:val="24"/>
        </w:rPr>
        <w:t>号）《农村幸福院等级划分与评定》（</w:t>
      </w:r>
      <w:r>
        <w:rPr>
          <w:rFonts w:ascii="calibri" w:hAnsi="calibri" w:cs="calibri" w:eastAsia="calibri"/>
          <w:sz w:val="24"/>
        </w:rPr>
        <w:t>DB35-T1995-2020</w:t>
      </w:r>
      <w:r>
        <w:rPr>
          <w:rFonts w:ascii="宋体" w:hAnsi="宋体" w:cs="宋体" w:eastAsia="宋体"/>
          <w:sz w:val="24"/>
        </w:rPr>
        <w:t>）（评审项</w:t>
      </w:r>
      <w:r>
        <w:rPr>
          <w:rFonts w:ascii="calibri" w:hAnsi="calibri" w:cs="calibri" w:eastAsia="calibri"/>
          <w:sz w:val="24"/>
        </w:rPr>
        <w:t>2</w:t>
      </w:r>
      <w:r>
        <w:rPr>
          <w:rFonts w:ascii="宋体" w:hAnsi="宋体" w:cs="宋体" w:eastAsia="宋体"/>
          <w:sz w:val="24"/>
        </w:rPr>
        <w:t>）</w:t>
      </w:r>
    </w:p>
    <w:p>
      <w:pPr>
        <w:pStyle w:val="null3"/>
        <w:ind w:firstLine="480"/>
      </w:pPr>
      <w:r>
        <w:rPr>
          <w:rFonts w:ascii="宋体" w:hAnsi="宋体" w:cs="宋体" w:eastAsia="宋体"/>
          <w:sz w:val="24"/>
        </w:rPr>
        <w:t>（二）养老服务质量评估</w:t>
      </w:r>
    </w:p>
    <w:p>
      <w:pPr>
        <w:pStyle w:val="null3"/>
        <w:ind w:firstLine="480"/>
      </w:pPr>
      <w:r>
        <w:rPr>
          <w:rFonts w:ascii="宋体" w:hAnsi="宋体" w:cs="宋体" w:eastAsia="宋体"/>
          <w:sz w:val="24"/>
        </w:rPr>
        <w:t>对各地承接政府购买服务的居家社区养老服务专业化组织、享受床位运营补贴的养老服务机构，评估其服务质量。（评审项</w:t>
      </w:r>
      <w:r>
        <w:rPr>
          <w:rFonts w:ascii="calibri" w:hAnsi="calibri" w:cs="calibri" w:eastAsia="calibri"/>
          <w:sz w:val="24"/>
        </w:rPr>
        <w:t>3</w:t>
      </w:r>
      <w:r>
        <w:rPr>
          <w:rFonts w:ascii="宋体" w:hAnsi="宋体" w:cs="宋体" w:eastAsia="宋体"/>
          <w:sz w:val="24"/>
        </w:rPr>
        <w:t>）</w:t>
      </w:r>
    </w:p>
    <w:p>
      <w:pPr>
        <w:pStyle w:val="null3"/>
        <w:ind w:firstLine="480"/>
      </w:pPr>
      <w:r>
        <w:rPr>
          <w:rFonts w:ascii="宋体" w:hAnsi="宋体" w:cs="宋体" w:eastAsia="宋体"/>
          <w:sz w:val="24"/>
        </w:rPr>
        <w:t>评估依据：养老机构服务质量评估可参考《养老机构服务安全基本规范》（</w:t>
      </w:r>
      <w:r>
        <w:rPr>
          <w:rFonts w:ascii="calibri" w:hAnsi="calibri" w:cs="calibri" w:eastAsia="calibri"/>
          <w:sz w:val="24"/>
        </w:rPr>
        <w:t>GB 38600-2019</w:t>
      </w:r>
      <w:r>
        <w:rPr>
          <w:rFonts w:ascii="宋体" w:hAnsi="宋体" w:cs="宋体" w:eastAsia="宋体"/>
          <w:sz w:val="24"/>
        </w:rPr>
        <w:t>）《养老机构顾客满意度测评》（</w:t>
      </w:r>
      <w:r>
        <w:rPr>
          <w:rFonts w:ascii="calibri" w:hAnsi="calibri" w:cs="calibri" w:eastAsia="calibri"/>
          <w:sz w:val="24"/>
        </w:rPr>
        <w:t>MZT 133</w:t>
      </w:r>
      <w:r>
        <w:rPr>
          <w:rFonts w:ascii="宋体" w:hAnsi="宋体" w:cs="宋体" w:eastAsia="宋体"/>
          <w:sz w:val="24"/>
        </w:rPr>
        <w:t>—</w:t>
      </w:r>
      <w:r>
        <w:rPr>
          <w:rFonts w:ascii="calibri" w:hAnsi="calibri" w:cs="calibri" w:eastAsia="calibri"/>
          <w:sz w:val="24"/>
        </w:rPr>
        <w:t>2019</w:t>
      </w:r>
      <w:r>
        <w:rPr>
          <w:rFonts w:ascii="宋体" w:hAnsi="宋体" w:cs="宋体" w:eastAsia="宋体"/>
          <w:sz w:val="24"/>
        </w:rPr>
        <w:t>），居家社区养老服务专业化组织服务质量评估可参</w:t>
      </w:r>
      <w:r>
        <w:rPr>
          <w:rFonts w:ascii="宋体" w:hAnsi="宋体" w:cs="宋体" w:eastAsia="宋体"/>
          <w:sz w:val="24"/>
        </w:rPr>
        <w:t>考《福建省社区居家养老服务承接机构服务质量评估试行办法》（闽民办〔</w:t>
      </w:r>
      <w:r>
        <w:rPr>
          <w:rFonts w:ascii="calibri" w:hAnsi="calibri" w:cs="calibri" w:eastAsia="calibri"/>
          <w:sz w:val="24"/>
        </w:rPr>
        <w:t>2017</w:t>
      </w:r>
      <w:r>
        <w:rPr>
          <w:rFonts w:ascii="宋体" w:hAnsi="宋体" w:cs="宋体" w:eastAsia="宋体"/>
          <w:sz w:val="24"/>
        </w:rPr>
        <w:t>〕</w:t>
      </w:r>
      <w:r>
        <w:rPr>
          <w:rFonts w:ascii="calibri" w:hAnsi="calibri" w:cs="calibri" w:eastAsia="calibri"/>
          <w:sz w:val="24"/>
        </w:rPr>
        <w:t>72</w:t>
      </w:r>
      <w:r>
        <w:rPr>
          <w:rFonts w:ascii="宋体" w:hAnsi="宋体" w:cs="宋体" w:eastAsia="宋体"/>
          <w:sz w:val="24"/>
        </w:rPr>
        <w:t>号）及省内外先进地区的政府购买服务评估办法。（评审项</w:t>
      </w:r>
      <w:r>
        <w:rPr>
          <w:rFonts w:ascii="calibri" w:hAnsi="calibri" w:cs="calibri" w:eastAsia="calibri"/>
          <w:sz w:val="24"/>
        </w:rPr>
        <w:t>4</w:t>
      </w:r>
      <w:r>
        <w:rPr>
          <w:rFonts w:ascii="宋体" w:hAnsi="宋体" w:cs="宋体" w:eastAsia="宋体"/>
          <w:sz w:val="24"/>
        </w:rPr>
        <w:t>）</w:t>
      </w:r>
    </w:p>
    <w:p>
      <w:pPr>
        <w:pStyle w:val="null3"/>
        <w:ind w:firstLine="480"/>
      </w:pPr>
      <w:r>
        <w:rPr>
          <w:rFonts w:ascii="宋体" w:hAnsi="宋体" w:cs="宋体" w:eastAsia="宋体"/>
          <w:sz w:val="24"/>
        </w:rPr>
        <w:t>（三）编写全省养老服务发展报告</w:t>
      </w:r>
    </w:p>
    <w:p>
      <w:pPr>
        <w:pStyle w:val="null3"/>
        <w:ind w:firstLine="480"/>
      </w:pPr>
      <w:r>
        <w:rPr>
          <w:rFonts w:ascii="宋体" w:hAnsi="宋体" w:cs="宋体" w:eastAsia="宋体"/>
          <w:sz w:val="24"/>
        </w:rPr>
        <w:t>依据省政府办公厅《关于建立健全产业分析推进工作机制的意见》</w:t>
      </w:r>
      <w:r>
        <w:rPr>
          <w:rFonts w:ascii="calibri" w:hAnsi="calibri" w:cs="calibri" w:eastAsia="calibri"/>
          <w:sz w:val="24"/>
        </w:rPr>
        <w:t>(</w:t>
      </w:r>
      <w:r>
        <w:rPr>
          <w:rFonts w:ascii="宋体" w:hAnsi="宋体" w:cs="宋体" w:eastAsia="宋体"/>
          <w:sz w:val="24"/>
        </w:rPr>
        <w:t>闽政办〔</w:t>
      </w:r>
      <w:r>
        <w:rPr>
          <w:rFonts w:ascii="calibri" w:hAnsi="calibri" w:cs="calibri" w:eastAsia="calibri"/>
          <w:sz w:val="24"/>
        </w:rPr>
        <w:t>2016</w:t>
      </w:r>
      <w:r>
        <w:rPr>
          <w:rFonts w:ascii="宋体" w:hAnsi="宋体" w:cs="宋体" w:eastAsia="宋体"/>
          <w:sz w:val="24"/>
        </w:rPr>
        <w:t>〕</w:t>
      </w:r>
      <w:r>
        <w:rPr>
          <w:rFonts w:ascii="calibri" w:hAnsi="calibri" w:cs="calibri" w:eastAsia="calibri"/>
          <w:sz w:val="24"/>
        </w:rPr>
        <w:t>207</w:t>
      </w:r>
      <w:r>
        <w:rPr>
          <w:rFonts w:ascii="宋体" w:hAnsi="宋体" w:cs="宋体" w:eastAsia="宋体"/>
          <w:sz w:val="24"/>
        </w:rPr>
        <w:t>号</w:t>
      </w:r>
      <w:r>
        <w:rPr>
          <w:rFonts w:ascii="calibri" w:hAnsi="calibri" w:cs="calibri" w:eastAsia="calibri"/>
          <w:sz w:val="24"/>
        </w:rPr>
        <w:t>)</w:t>
      </w:r>
      <w:r>
        <w:rPr>
          <w:rFonts w:ascii="宋体" w:hAnsi="宋体" w:cs="宋体" w:eastAsia="宋体"/>
          <w:sz w:val="24"/>
        </w:rPr>
        <w:t>和《关于做好服务业分析推进工作实施方案》要求，通过更加广泛的社会调查、统计分析，围绕人口老龄化现状及发展趋势、养老服务发展现状、前景展望等，编制</w:t>
      </w:r>
      <w:r>
        <w:rPr>
          <w:rFonts w:ascii="calibri" w:hAnsi="calibri" w:cs="calibri" w:eastAsia="calibri"/>
          <w:sz w:val="24"/>
        </w:rPr>
        <w:t>2023</w:t>
      </w:r>
      <w:r>
        <w:rPr>
          <w:rFonts w:ascii="宋体" w:hAnsi="宋体" w:cs="宋体" w:eastAsia="宋体"/>
          <w:sz w:val="24"/>
        </w:rPr>
        <w:t>年《养老服务发展年度报告》及</w:t>
      </w:r>
      <w:r>
        <w:rPr>
          <w:rFonts w:ascii="calibri" w:hAnsi="calibri" w:cs="calibri" w:eastAsia="calibri"/>
          <w:sz w:val="24"/>
        </w:rPr>
        <w:t>2024</w:t>
      </w:r>
      <w:r>
        <w:rPr>
          <w:rFonts w:ascii="宋体" w:hAnsi="宋体" w:cs="宋体" w:eastAsia="宋体"/>
          <w:sz w:val="24"/>
        </w:rPr>
        <w:t>年各季度《养老服务发展季度分析报告》。（评审项</w:t>
      </w:r>
      <w:r>
        <w:rPr>
          <w:rFonts w:ascii="calibri" w:hAnsi="calibri" w:cs="calibri" w:eastAsia="calibri"/>
          <w:sz w:val="24"/>
        </w:rPr>
        <w:t>5</w:t>
      </w:r>
      <w:r>
        <w:rPr>
          <w:rFonts w:ascii="宋体" w:hAnsi="宋体" w:cs="宋体" w:eastAsia="宋体"/>
          <w:sz w:val="24"/>
        </w:rPr>
        <w:t>）</w:t>
      </w:r>
    </w:p>
    <w:p>
      <w:pPr>
        <w:pStyle w:val="null3"/>
        <w:ind w:firstLine="480"/>
      </w:pPr>
      <w:r>
        <w:rPr>
          <w:rFonts w:ascii="宋体" w:hAnsi="宋体" w:cs="宋体" w:eastAsia="宋体"/>
          <w:sz w:val="24"/>
        </w:rPr>
        <w:t>（四）城乡养老服务发展指数第三方评价</w:t>
      </w:r>
    </w:p>
    <w:p>
      <w:pPr>
        <w:pStyle w:val="null3"/>
        <w:ind w:firstLine="480"/>
      </w:pPr>
      <w:r>
        <w:rPr>
          <w:rFonts w:ascii="宋体" w:hAnsi="宋体" w:cs="宋体" w:eastAsia="宋体"/>
          <w:sz w:val="24"/>
        </w:rPr>
        <w:t>结合我省养老服务发展实际，从第三方角度研究制定城乡养老服务发展指数评价体系，并对全省各市、县（区）养老服务发展指数开展评价。其他具体要求将在合同中作详细约定。（评审项</w:t>
      </w:r>
      <w:r>
        <w:rPr>
          <w:rFonts w:ascii="calibri" w:hAnsi="calibri" w:cs="calibri" w:eastAsia="calibri"/>
          <w:sz w:val="24"/>
        </w:rPr>
        <w:t>6</w:t>
      </w:r>
      <w:r>
        <w:rPr>
          <w:rFonts w:ascii="宋体" w:hAnsi="宋体" w:cs="宋体" w:eastAsia="宋体"/>
          <w:sz w:val="24"/>
        </w:rPr>
        <w:t>）</w:t>
      </w:r>
    </w:p>
    <w:p>
      <w:pPr>
        <w:pStyle w:val="null3"/>
        <w:ind w:firstLine="480"/>
      </w:pPr>
      <w:r>
        <w:rPr>
          <w:rFonts w:ascii="宋体" w:hAnsi="宋体" w:cs="宋体" w:eastAsia="宋体"/>
          <w:sz w:val="24"/>
        </w:rPr>
        <w:t>（五）开展政策落实情况评估</w:t>
      </w:r>
    </w:p>
    <w:p>
      <w:pPr>
        <w:pStyle w:val="null3"/>
        <w:ind w:firstLine="480"/>
      </w:pPr>
      <w:r>
        <w:rPr>
          <w:rFonts w:ascii="宋体" w:hAnsi="宋体" w:cs="宋体" w:eastAsia="宋体"/>
          <w:sz w:val="24"/>
        </w:rPr>
        <w:t>根据《福建省标准化管理办法》第三十四条，要开展标准的研究制定、体系建设、宣传贯彻、验证对比、评价评估等活动，鼓励第三方服务机构提供标准质量评价和实施效果评估服务。拟针对我省现行</w:t>
      </w:r>
      <w:r>
        <w:rPr>
          <w:rFonts w:ascii="calibri" w:hAnsi="calibri" w:cs="calibri" w:eastAsia="calibri"/>
          <w:sz w:val="24"/>
        </w:rPr>
        <w:t>10</w:t>
      </w:r>
      <w:r>
        <w:rPr>
          <w:rFonts w:ascii="宋体" w:hAnsi="宋体" w:cs="宋体" w:eastAsia="宋体"/>
          <w:sz w:val="24"/>
        </w:rPr>
        <w:t>个地方标准开展实地调研，每个标准形成不少于</w:t>
      </w:r>
      <w:r>
        <w:rPr>
          <w:rFonts w:ascii="calibri" w:hAnsi="calibri" w:cs="calibri" w:eastAsia="calibri"/>
          <w:sz w:val="24"/>
        </w:rPr>
        <w:t>1</w:t>
      </w:r>
      <w:r>
        <w:rPr>
          <w:rFonts w:ascii="宋体" w:hAnsi="宋体" w:cs="宋体" w:eastAsia="宋体"/>
          <w:sz w:val="24"/>
        </w:rPr>
        <w:t>万字调研报告；对民办养老服务机构业务管理办法、完全失能老年人护理补贴业务管理办法、农村幸福院质量提升三年行动方案、</w:t>
      </w:r>
      <w:r>
        <w:rPr>
          <w:rFonts w:ascii="宋体" w:hAnsi="宋体" w:cs="宋体" w:eastAsia="宋体"/>
          <w:sz w:val="24"/>
        </w:rPr>
        <w:t>“点题整治”工作方案等政策落实情况开展评估，为修订、完善政策措施提供依据参考。（评审项</w:t>
      </w:r>
      <w:r>
        <w:rPr>
          <w:rFonts w:ascii="calibri" w:hAnsi="calibri" w:cs="calibri" w:eastAsia="calibri"/>
          <w:sz w:val="24"/>
        </w:rPr>
        <w:t>7</w:t>
      </w:r>
      <w:r>
        <w:rPr>
          <w:rFonts w:ascii="宋体" w:hAnsi="宋体" w:cs="宋体" w:eastAsia="宋体"/>
          <w:sz w:val="24"/>
        </w:rPr>
        <w:t>）</w:t>
      </w:r>
    </w:p>
    <w:p>
      <w:pPr>
        <w:pStyle w:val="null3"/>
        <w:ind w:firstLine="480"/>
      </w:pPr>
      <w:r>
        <w:rPr>
          <w:rFonts w:ascii="宋体" w:hAnsi="宋体" w:cs="宋体" w:eastAsia="宋体"/>
          <w:sz w:val="24"/>
        </w:rPr>
        <w:t>（六）其他事项</w:t>
      </w:r>
    </w:p>
    <w:p>
      <w:pPr>
        <w:pStyle w:val="null3"/>
        <w:ind w:firstLine="480"/>
      </w:pPr>
      <w:r>
        <w:rPr>
          <w:rFonts w:ascii="宋体" w:hAnsi="宋体" w:cs="宋体" w:eastAsia="宋体"/>
          <w:sz w:val="24"/>
        </w:rPr>
        <w:t>第三方评估机构需对照评估内容和要求，制定具体实施方案，与省政府发展研究中心、省统计局、国家统计局福建调查总队等官方政策研究、数据统计机构合作，采取实地查看、评分表评估、问卷</w:t>
      </w:r>
      <w:r>
        <w:rPr>
          <w:rFonts w:ascii="calibri" w:hAnsi="calibri" w:cs="calibri" w:eastAsia="calibri"/>
          <w:sz w:val="24"/>
        </w:rPr>
        <w:t>(</w:t>
      </w:r>
      <w:r>
        <w:rPr>
          <w:rFonts w:ascii="宋体" w:hAnsi="宋体" w:cs="宋体" w:eastAsia="宋体"/>
          <w:sz w:val="24"/>
        </w:rPr>
        <w:t>满意度</w:t>
      </w:r>
      <w:r>
        <w:rPr>
          <w:rFonts w:ascii="calibri" w:hAnsi="calibri" w:cs="calibri" w:eastAsia="calibri"/>
          <w:sz w:val="24"/>
        </w:rPr>
        <w:t>)</w:t>
      </w:r>
      <w:r>
        <w:rPr>
          <w:rFonts w:ascii="宋体" w:hAnsi="宋体" w:cs="宋体" w:eastAsia="宋体"/>
          <w:sz w:val="24"/>
        </w:rPr>
        <w:t>调查、公众电话测评等方式开展评估。（评审项</w:t>
      </w:r>
      <w:r>
        <w:rPr>
          <w:rFonts w:ascii="calibri" w:hAnsi="calibri" w:cs="calibri" w:eastAsia="calibri"/>
          <w:sz w:val="24"/>
        </w:rPr>
        <w:t>8</w:t>
      </w:r>
      <w:r>
        <w:rPr>
          <w:rFonts w:ascii="宋体" w:hAnsi="宋体" w:cs="宋体" w:eastAsia="宋体"/>
          <w:sz w:val="24"/>
        </w:rPr>
        <w:t>）</w:t>
      </w:r>
    </w:p>
    <w:p>
      <w:pPr>
        <w:pStyle w:val="null3"/>
        <w:ind w:firstLine="480"/>
      </w:pPr>
      <w:r>
        <w:rPr>
          <w:rFonts w:ascii="宋体" w:hAnsi="宋体" w:cs="宋体" w:eastAsia="宋体"/>
          <w:sz w:val="24"/>
        </w:rPr>
        <w:t>采购人具体负责指导和协调工作，有权督促项目落实。第三方评估机构具体负责评估工作，每周报送项目进展情况，接受采购人督导。（评审项</w:t>
      </w:r>
      <w:r>
        <w:rPr>
          <w:rFonts w:ascii="calibri" w:hAnsi="calibri" w:cs="calibri" w:eastAsia="calibri"/>
          <w:sz w:val="24"/>
        </w:rPr>
        <w:t>9</w:t>
      </w:r>
      <w:r>
        <w:rPr>
          <w:rFonts w:ascii="宋体" w:hAnsi="宋体" w:cs="宋体" w:eastAsia="宋体"/>
          <w:sz w:val="24"/>
        </w:rPr>
        <w:t>）</w:t>
      </w:r>
    </w:p>
    <w:p>
      <w:pPr>
        <w:pStyle w:val="null3"/>
        <w:ind w:firstLine="480"/>
      </w:pPr>
      <w:r>
        <w:rPr>
          <w:rFonts w:ascii="宋体" w:hAnsi="宋体" w:cs="宋体" w:eastAsia="宋体"/>
          <w:sz w:val="24"/>
        </w:rPr>
        <w:t>采购人对第三方评定机构的评定程序设置、评定方法运用、评定信息采集、评定结论填报等重点环节进行核查，对评定结果和项目效果进行认定，确保评定结果客观、公正。认定结果作为服务费用的结算依据。（评审项</w:t>
      </w:r>
      <w:r>
        <w:rPr>
          <w:rFonts w:ascii="calibri" w:hAnsi="calibri" w:cs="calibri" w:eastAsia="calibri"/>
          <w:sz w:val="24"/>
        </w:rPr>
        <w:t>1</w:t>
      </w:r>
      <w:r>
        <w:rPr>
          <w:rFonts w:ascii="calibri" w:hAnsi="calibri" w:cs="calibri" w:eastAsia="calibri"/>
          <w:sz w:val="24"/>
        </w:rPr>
        <w:t>0</w:t>
      </w:r>
      <w:r>
        <w:rPr>
          <w:rFonts w:ascii="宋体" w:hAnsi="宋体" w:cs="宋体" w:eastAsia="宋体"/>
          <w:sz w:val="24"/>
        </w:rPr>
        <w:t>）</w:t>
      </w:r>
    </w:p>
    <w:p>
      <w:pPr>
        <w:pStyle w:val="null3"/>
        <w:ind w:firstLine="480"/>
      </w:pPr>
      <w:r>
        <w:rPr>
          <w:rFonts w:ascii="宋体" w:hAnsi="宋体" w:cs="宋体" w:eastAsia="宋体"/>
          <w:sz w:val="24"/>
        </w:rPr>
        <w:t>评定程序应公开透明，自觉接受评定对象和公众监督。落实保密要求，不得随意向社会公布评定对象、评定情况和评定结果。（评审项</w:t>
      </w:r>
      <w:r>
        <w:rPr>
          <w:rFonts w:ascii="calibri" w:hAnsi="calibri" w:cs="calibri" w:eastAsia="calibri"/>
          <w:sz w:val="24"/>
        </w:rPr>
        <w:t>1</w:t>
      </w:r>
      <w:r>
        <w:rPr>
          <w:rFonts w:ascii="calibri" w:hAnsi="calibri" w:cs="calibri" w:eastAsia="calibri"/>
          <w:sz w:val="24"/>
        </w:rPr>
        <w:t>1</w:t>
      </w:r>
      <w:r>
        <w:rPr>
          <w:rFonts w:ascii="宋体" w:hAnsi="宋体" w:cs="宋体" w:eastAsia="宋体"/>
          <w:sz w:val="24"/>
        </w:rPr>
        <w:t>）</w:t>
      </w:r>
    </w:p>
    <w:p>
      <w:pPr>
        <w:pStyle w:val="null3"/>
        <w:jc w:val="left"/>
        <w:outlineLvl w:val="2"/>
      </w:pPr>
      <w:r>
        <w:rPr>
          <w:b/>
          <w:sz w:val="28"/>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福建省福州市鼓楼区鼓东路44号</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合同签订后 (450) 天内交付</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验收合格</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是否邀请供应商验收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1、期次1，说明：经采购人验收合格交付。</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1、合同签订后，达到付款条件起15日内，支付合同总金额的50.00%</w:t>
            </w:r>
          </w:p>
          <w:p>
            <w:pPr>
              <w:pStyle w:val="null3"/>
            </w:pPr>
            <w:r>
              <w:rPr/>
              <w:t>2、全部项目完成并经采购人验收合格后，达到付款条件起15日内，支付合同总金额的50.00%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不缴纳</w:t>
            </w:r>
          </w:p>
        </w:tc>
      </w:tr>
    </w:tbl>
    <w:p>
      <w:pPr>
        <w:pStyle w:val="null3"/>
        <w:jc w:val="left"/>
      </w:pPr>
      <w:r>
        <w:rPr/>
        <w:t>其他商务要求：</w:t>
      </w:r>
    </w:p>
    <w:p>
      <w:pPr>
        <w:pStyle w:val="null3"/>
        <w:jc w:val="left"/>
      </w:pPr>
      <w:r>
        <w:rPr>
          <w:rFonts w:ascii="宋体" w:hAnsi="宋体" w:cs="宋体" w:eastAsia="宋体"/>
          <w:color w:val="000000"/>
          <w:sz w:val="24"/>
          <w:shd w:fill="FFFFFF" w:val="clear"/>
        </w:rPr>
        <w:t>8、违约责任</w:t>
      </w:r>
    </w:p>
    <w:p>
      <w:pPr>
        <w:pStyle w:val="null3"/>
        <w:ind w:firstLine="480"/>
        <w:jc w:val="left"/>
      </w:pPr>
      <w:r>
        <w:rPr>
          <w:rFonts w:ascii="宋体" w:hAnsi="宋体" w:cs="宋体" w:eastAsia="宋体"/>
          <w:color w:val="000000"/>
          <w:sz w:val="24"/>
          <w:shd w:fill="FFFFFF" w:val="clear"/>
        </w:rPr>
        <w:t>（</w:t>
      </w:r>
      <w:r>
        <w:rPr>
          <w:rFonts w:ascii="宋体" w:hAnsi="宋体" w:cs="宋体" w:eastAsia="宋体"/>
          <w:color w:val="000000"/>
          <w:sz w:val="24"/>
          <w:shd w:fill="FFFFFF" w:val="clear"/>
        </w:rPr>
        <w:t>1）成交人原因造成采购合同无法按时签订的，视为成交人违约；成交人违约对采购人造成损失的，成交人需支付相应的赔偿。</w:t>
      </w:r>
    </w:p>
    <w:p>
      <w:pPr>
        <w:pStyle w:val="null3"/>
        <w:ind w:firstLine="480"/>
        <w:jc w:val="left"/>
      </w:pPr>
      <w:r>
        <w:rPr>
          <w:rFonts w:ascii="宋体" w:hAnsi="宋体" w:cs="宋体" w:eastAsia="宋体"/>
          <w:color w:val="000000"/>
          <w:sz w:val="24"/>
          <w:shd w:fill="FFFFFF" w:val="clear"/>
        </w:rPr>
        <w:t>（</w:t>
      </w:r>
      <w:r>
        <w:rPr>
          <w:rFonts w:ascii="宋体" w:hAnsi="宋体" w:cs="宋体" w:eastAsia="宋体"/>
          <w:color w:val="000000"/>
          <w:sz w:val="24"/>
          <w:shd w:fill="FFFFFF" w:val="clear"/>
        </w:rPr>
        <w:t>2）在签定采购合同之后，成交人擅自要求解除合同的，视为成交人违约，采购人有权要求成交人支付成交金额20%的违约金。</w:t>
      </w:r>
    </w:p>
    <w:p>
      <w:pPr>
        <w:pStyle w:val="null3"/>
        <w:ind w:firstLine="480"/>
        <w:jc w:val="left"/>
      </w:pPr>
      <w:r>
        <w:rPr>
          <w:rFonts w:ascii="宋体" w:hAnsi="宋体" w:cs="宋体" w:eastAsia="宋体"/>
          <w:color w:val="000000"/>
          <w:sz w:val="24"/>
          <w:shd w:fill="FFFFFF" w:val="clear"/>
        </w:rPr>
        <w:t>（</w:t>
      </w:r>
      <w:r>
        <w:rPr>
          <w:rFonts w:ascii="宋体" w:hAnsi="宋体" w:cs="宋体" w:eastAsia="宋体"/>
          <w:color w:val="000000"/>
          <w:sz w:val="24"/>
          <w:shd w:fill="FFFFFF" w:val="clear"/>
        </w:rPr>
        <w:t>3）若成交人消极怠工、未积极履行合同义务，经催告后，成交人仍不积极履行的，采购人有权解除合同，并要求成交人支付成交金额20%的违约金，并赔偿采购人因此造成的损失。</w:t>
      </w:r>
    </w:p>
    <w:p>
      <w:pPr>
        <w:pStyle w:val="null3"/>
        <w:ind w:firstLine="480"/>
        <w:jc w:val="left"/>
      </w:pPr>
      <w:r>
        <w:rPr>
          <w:rFonts w:ascii="宋体" w:hAnsi="宋体" w:cs="宋体" w:eastAsia="宋体"/>
          <w:color w:val="000000"/>
          <w:sz w:val="24"/>
          <w:shd w:fill="FFFFFF" w:val="clear"/>
        </w:rPr>
        <w:t>（</w:t>
      </w:r>
      <w:r>
        <w:rPr>
          <w:rFonts w:ascii="宋体" w:hAnsi="宋体" w:cs="宋体" w:eastAsia="宋体"/>
          <w:color w:val="000000"/>
          <w:sz w:val="24"/>
          <w:shd w:fill="FFFFFF" w:val="clear"/>
        </w:rPr>
        <w:t>4）若成交人于合同期限前未完成合同约定的全部义务的，视为成交人违约；每逾期一日，采购人有权要求成交人支付成交金额万分之三的违约金。若逾期超过30日，采购人有权解除合同，并要求成交人支付成交金额20%的违约金。</w:t>
      </w:r>
    </w:p>
    <w:p>
      <w:pPr>
        <w:pStyle w:val="null3"/>
        <w:ind w:firstLine="480"/>
        <w:jc w:val="left"/>
      </w:pPr>
      <w:r>
        <w:rPr>
          <w:rFonts w:ascii="宋体" w:hAnsi="宋体" w:cs="宋体" w:eastAsia="宋体"/>
          <w:color w:val="000000"/>
          <w:sz w:val="24"/>
          <w:shd w:fill="FFFFFF" w:val="clear"/>
        </w:rPr>
        <w:t>（</w:t>
      </w:r>
      <w:r>
        <w:rPr>
          <w:rFonts w:ascii="宋体" w:hAnsi="宋体" w:cs="宋体" w:eastAsia="宋体"/>
          <w:color w:val="000000"/>
          <w:sz w:val="24"/>
          <w:shd w:fill="FFFFFF" w:val="clear"/>
        </w:rPr>
        <w:t>5）经采购人组织验收后，如认定成交人的工作成果无法通过验收的，采购人有权要求成交人立即整改，若成交人整改后仍无法通过验收的，成交人应支付成交金额20%作为违约金；给采购人造成损失的，应当予以赔偿。</w:t>
      </w:r>
    </w:p>
    <w:p>
      <w:pPr>
        <w:pStyle w:val="null3"/>
        <w:ind w:firstLine="480"/>
        <w:jc w:val="left"/>
      </w:pPr>
      <w:r>
        <w:rPr>
          <w:rFonts w:ascii="宋体" w:hAnsi="宋体" w:cs="宋体" w:eastAsia="宋体"/>
          <w:color w:val="000000"/>
          <w:sz w:val="24"/>
          <w:shd w:fill="FFFFFF" w:val="clear"/>
        </w:rPr>
        <w:t>（</w:t>
      </w:r>
      <w:r>
        <w:rPr>
          <w:rFonts w:ascii="宋体" w:hAnsi="宋体" w:cs="宋体" w:eastAsia="宋体"/>
          <w:color w:val="000000"/>
          <w:sz w:val="24"/>
          <w:shd w:fill="FFFFFF" w:val="clear"/>
        </w:rPr>
        <w:t>6）在明确违约责任后，成交人应在接到书面通知起七天内支付违约金、赔偿金等。</w:t>
      </w:r>
    </w:p>
    <w:p>
      <w:pPr>
        <w:pStyle w:val="null3"/>
        <w:ind w:firstLine="480"/>
        <w:jc w:val="left"/>
      </w:pPr>
      <w:r>
        <w:rPr>
          <w:rFonts w:ascii="宋体" w:hAnsi="宋体" w:cs="宋体" w:eastAsia="宋体"/>
          <w:color w:val="000000"/>
          <w:sz w:val="24"/>
          <w:shd w:fill="FFFFFF" w:val="clear"/>
        </w:rPr>
        <w:t>9、知识产权</w:t>
      </w:r>
    </w:p>
    <w:p>
      <w:pPr>
        <w:pStyle w:val="null3"/>
        <w:ind w:firstLine="480"/>
        <w:jc w:val="left"/>
      </w:pPr>
      <w:r>
        <w:rPr>
          <w:rFonts w:ascii="宋体" w:hAnsi="宋体" w:cs="宋体" w:eastAsia="宋体"/>
          <w:color w:val="000000"/>
          <w:sz w:val="24"/>
          <w:shd w:fill="FFFFFF" w:val="clear"/>
        </w:rPr>
        <w:t>9.1若成交人提供的标的不符合国家知识产权法律、法规的规定或被有关主管部门认定为假冒伪劣产品，则成交人中标资格将被取消，采购人有权解除本项目合同，成交人除应退还全部采购人已支付的款项外，还应赔偿采购人因此造成的损失，该损失包括但不限于采购人为维护权益所支付的合理的开支、律师费、保全费、诉讼费、保函费等；</w:t>
      </w:r>
    </w:p>
    <w:p>
      <w:pPr>
        <w:pStyle w:val="null3"/>
        <w:ind w:firstLine="480"/>
        <w:jc w:val="left"/>
      </w:pPr>
      <w:r>
        <w:rPr>
          <w:rFonts w:ascii="宋体" w:hAnsi="宋体" w:cs="宋体" w:eastAsia="宋体"/>
          <w:color w:val="000000"/>
          <w:sz w:val="24"/>
          <w:shd w:fill="FFFFFF" w:val="clear"/>
        </w:rPr>
        <w:t>9.2成交人提供的产品应符合国家知识产权法律、法规的规定且非假冒伪劣品，成交人还应保证采购人不受第三方关于侵犯知识产权及专利权、商标权或工业设计权等知识产权方面的指控，任何第三方如果提出此方面指控均与采购人无关，成交人应与第三方交涉，并承担可能发生的一切的法律责任、费用和后果，若采购人因此而遭受损失，则成交人应赔偿损失。合同结束后，本合同条款仍然有效。</w:t>
      </w:r>
    </w:p>
    <w:p>
      <w:pPr>
        <w:pStyle w:val="null3"/>
        <w:ind w:firstLine="480"/>
      </w:pPr>
      <w:r>
        <w:rPr>
          <w:rFonts w:ascii="calibri" w:hAnsi="calibri" w:cs="calibri" w:eastAsia="calibri"/>
          <w:sz w:val="24"/>
        </w:rPr>
        <w:t>10</w:t>
      </w:r>
      <w:r>
        <w:rPr>
          <w:rFonts w:ascii="宋体" w:hAnsi="宋体" w:cs="宋体" w:eastAsia="宋体"/>
          <w:sz w:val="24"/>
        </w:rPr>
        <w:t>、仲裁、诉讼条款</w:t>
      </w:r>
    </w:p>
    <w:p>
      <w:pPr>
        <w:pStyle w:val="null3"/>
        <w:ind w:firstLine="480"/>
      </w:pPr>
      <w:r>
        <w:rPr>
          <w:rFonts w:ascii="宋体" w:hAnsi="宋体" w:cs="宋体" w:eastAsia="宋体"/>
          <w:sz w:val="24"/>
        </w:rPr>
        <w:t>因采购或与采购合同有关的一切事项发生争议，由采购人和成交人双方友好协商解决。协商不成的，任何一方均可选择以下</w:t>
      </w:r>
      <w:r>
        <w:rPr>
          <w:rFonts w:ascii="calibri" w:hAnsi="calibri" w:cs="calibri" w:eastAsia="calibri"/>
          <w:sz w:val="24"/>
        </w:rPr>
        <w:t>(2)</w:t>
      </w:r>
      <w:r>
        <w:rPr>
          <w:rFonts w:ascii="宋体" w:hAnsi="宋体" w:cs="宋体" w:eastAsia="宋体"/>
          <w:sz w:val="24"/>
        </w:rPr>
        <w:t>方式解决：</w:t>
      </w:r>
    </w:p>
    <w:p>
      <w:pPr>
        <w:pStyle w:val="null3"/>
        <w:ind w:firstLine="480"/>
      </w:pPr>
      <w:r>
        <w:rPr>
          <w:rFonts w:ascii="calibri" w:hAnsi="calibri" w:cs="calibri" w:eastAsia="calibri"/>
          <w:sz w:val="24"/>
        </w:rPr>
        <w:t>(1)</w:t>
      </w:r>
      <w:r>
        <w:rPr>
          <w:rFonts w:ascii="宋体" w:hAnsi="宋体" w:cs="宋体" w:eastAsia="宋体"/>
          <w:sz w:val="24"/>
        </w:rPr>
        <w:t>向</w:t>
      </w:r>
      <w:r>
        <w:rPr>
          <w:rFonts w:ascii="calibri" w:hAnsi="calibri" w:cs="calibri" w:eastAsia="calibri"/>
          <w:sz w:val="24"/>
        </w:rPr>
        <w:t>(</w:t>
      </w:r>
      <w:r>
        <w:rPr>
          <w:rFonts w:ascii="宋体" w:hAnsi="宋体" w:cs="宋体" w:eastAsia="宋体"/>
          <w:sz w:val="24"/>
        </w:rPr>
        <w:t>采购人所在地</w:t>
      </w:r>
      <w:r>
        <w:rPr>
          <w:rFonts w:ascii="calibri" w:hAnsi="calibri" w:cs="calibri" w:eastAsia="calibri"/>
          <w:sz w:val="24"/>
        </w:rPr>
        <w:t>)</w:t>
      </w:r>
      <w:r>
        <w:rPr>
          <w:rFonts w:ascii="宋体" w:hAnsi="宋体" w:cs="宋体" w:eastAsia="宋体"/>
          <w:sz w:val="24"/>
        </w:rPr>
        <w:t>仲裁委员会申请仲裁；</w:t>
      </w:r>
    </w:p>
    <w:p>
      <w:pPr>
        <w:pStyle w:val="null3"/>
        <w:ind w:firstLine="480"/>
      </w:pPr>
      <w:r>
        <w:rPr>
          <w:rFonts w:ascii="calibri" w:hAnsi="calibri" w:cs="calibri" w:eastAsia="calibri"/>
          <w:sz w:val="24"/>
        </w:rPr>
        <w:t>(2)</w:t>
      </w:r>
      <w:r>
        <w:rPr>
          <w:rFonts w:ascii="宋体" w:hAnsi="宋体" w:cs="宋体" w:eastAsia="宋体"/>
          <w:sz w:val="24"/>
        </w:rPr>
        <w:t>向采购人所在地有管辖权的人民法院提起诉讼。</w:t>
      </w:r>
    </w:p>
    <w:p>
      <w:pPr>
        <w:pStyle w:val="null3"/>
        <w:jc w:val="left"/>
        <w:outlineLvl w:val="2"/>
      </w:pPr>
      <w:r>
        <w:rPr>
          <w:b/>
          <w:sz w:val="28"/>
        </w:rPr>
        <w:t>四、其他事项</w:t>
      </w:r>
    </w:p>
    <w:p>
      <w:pPr>
        <w:pStyle w:val="null3"/>
        <w:jc w:val="left"/>
      </w:pPr>
      <w:r>
        <w:rPr/>
        <w:t>1、除磋商文件另有规定外，若出现有关法律、法规和规章有强制性规定但磋商文件未列明的情形，则投标人应按照有关法律、法规和规章强制性规定执行。 2、本磋商文件未明确的其它约定事项或条款，待采购人与成交人签订合同时，由双方协商订立。</w:t>
      </w:r>
    </w:p>
    <w:p>
      <w:pPr>
        <w:pStyle w:val="null3"/>
      </w:pPr>
      <w:r>
        <w:rPr/>
        <w:t xml:space="preserve"> </w:t>
        <w:br/>
        <w:br w:type="page"/>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0"/>
      </w:pPr>
      <w:r>
        <w:rPr>
          <w:b/>
          <w:sz w:val="48"/>
        </w:rPr>
        <w:t xml:space="preserve"> 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pPr>
      <w:r>
        <w:rPr/>
        <w:t xml:space="preserve"> </w:t>
        <w:br/>
        <w:br w:type="page"/>
      </w:r>
    </w:p>
    <w:p>
      <w:pPr>
        <w:pStyle w:val="null3"/>
        <w:jc w:val="center"/>
        <w:outlineLvl w:val="2"/>
      </w:pPr>
      <w:r>
        <w:rPr>
          <w:b/>
          <w:sz w:val="28"/>
        </w:rPr>
        <w:t>目 录</w:t>
      </w:r>
    </w:p>
    <w:p>
      <w:pPr>
        <w:pStyle w:val="null3"/>
        <w:ind w:firstLine="480"/>
        <w:jc w:val="left"/>
      </w:pPr>
      <w:r>
        <w:rPr/>
        <w:t>附件1：响应函</w:t>
      </w:r>
    </w:p>
    <w:p>
      <w:pPr>
        <w:pStyle w:val="null3"/>
        <w:ind w:firstLine="480"/>
        <w:jc w:val="left"/>
      </w:pPr>
      <w:r>
        <w:rPr/>
        <w:t>附件2：报价一览表（含详细报价书）</w:t>
      </w:r>
    </w:p>
    <w:p>
      <w:pPr>
        <w:pStyle w:val="null3"/>
        <w:ind w:firstLine="480"/>
        <w:jc w:val="left"/>
      </w:pPr>
      <w:r>
        <w:rPr/>
        <w:t>附件3：资格证明文件</w:t>
      </w:r>
    </w:p>
    <w:p>
      <w:pPr>
        <w:pStyle w:val="null3"/>
        <w:ind w:firstLine="480"/>
        <w:jc w:val="left"/>
      </w:pPr>
      <w:r>
        <w:rPr/>
        <w:t>附件4：磋商保证金凭证</w:t>
      </w:r>
    </w:p>
    <w:p>
      <w:pPr>
        <w:pStyle w:val="null3"/>
        <w:ind w:firstLine="480"/>
        <w:jc w:val="left"/>
      </w:pPr>
      <w:r>
        <w:rPr/>
        <w:t>附件5：技术和商务偏离表</w:t>
      </w:r>
    </w:p>
    <w:p>
      <w:pPr>
        <w:pStyle w:val="null3"/>
        <w:ind w:firstLine="480"/>
        <w:jc w:val="left"/>
      </w:pPr>
      <w:r>
        <w:rPr/>
        <w:t>附件6：相关技术、商务、服务响应承诺及资料</w:t>
      </w:r>
    </w:p>
    <w:p>
      <w:pPr>
        <w:pStyle w:val="null3"/>
        <w:ind w:firstLine="480"/>
        <w:jc w:val="left"/>
      </w:pPr>
      <w:r>
        <w:rPr/>
        <w:t>附件7：供应商提交的其他资料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b/>
          <w:sz w:val="28"/>
        </w:rPr>
        <w:t>附件1 磋商响应声明</w:t>
      </w:r>
    </w:p>
    <w:p>
      <w:pPr>
        <w:pStyle w:val="null3"/>
        <w:ind w:firstLine="480"/>
        <w:jc w:val="left"/>
      </w:pPr>
      <w:r>
        <w:rPr/>
        <w:t>致：</w:t>
      </w:r>
      <w:r>
        <w:rPr>
          <w:u w:val="single"/>
        </w:rPr>
        <w:t>（采购人或采购代理机构）</w:t>
      </w:r>
    </w:p>
    <w:p>
      <w:pPr>
        <w:pStyle w:val="null3"/>
        <w:ind w:firstLine="480"/>
        <w:jc w:val="left"/>
      </w:pPr>
      <w:r>
        <w:rPr/>
        <w:t>1.根据贵方为</w:t>
      </w:r>
      <w:r>
        <w:rPr>
          <w:u w:val="single"/>
        </w:rPr>
        <w:t xml:space="preserve">　　　　 　 </w:t>
      </w:r>
      <w:r>
        <w:rPr>
          <w:u w:val="single"/>
        </w:rPr>
        <w:t xml:space="preserve">　　　　 </w:t>
      </w:r>
      <w:r>
        <w:rPr/>
        <w:t xml:space="preserve"> 项目（项目编号）:</w:t>
      </w:r>
      <w:r>
        <w:rPr>
          <w:u w:val="single"/>
        </w:rPr>
        <w:t xml:space="preserve">　　　　 </w:t>
      </w:r>
      <w:r>
        <w:rPr>
          <w:u w:val="single"/>
        </w:rPr>
        <w:t xml:space="preserve">　　　　 　 </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（8）按照磋商文件规定，要求作为响应文件组成部分的其他内容（若有）</w:t>
      </w:r>
    </w:p>
    <w:p>
      <w:pPr>
        <w:pStyle w:val="null3"/>
        <w:ind w:firstLine="480"/>
        <w:jc w:val="left"/>
      </w:pPr>
      <w:r>
        <w:rPr/>
        <w:t>2.据此函，我方宣布响应承诺如下：</w:t>
      </w:r>
    </w:p>
    <w:p>
      <w:pPr>
        <w:pStyle w:val="null3"/>
        <w:ind w:firstLine="480"/>
        <w:jc w:val="left"/>
      </w:pPr>
      <w:r>
        <w:rPr/>
        <w:t xml:space="preserve"> 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t>2.5我方愿意向贵方提供任何与本项目磋商采购有关的数据或资料。若贵方需要，我方愿意提供我方作出的一切承诺的证明材料。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2.8我方承诺响应文件所提供的全部资料真实可靠，并接受磋商小组、采购人、采购代理机构、监管部门进一步审查其中任何资料真实性的要求。</w:t>
      </w:r>
      <w:r>
        <w:br/>
      </w:r>
    </w:p>
    <w:p>
      <w:pPr>
        <w:pStyle w:val="null3"/>
        <w:ind w:firstLine="480"/>
        <w:jc w:val="left"/>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left"/>
      </w:pPr>
      <w:r>
        <w:rPr/>
        <w:t>邮编：</w:t>
      </w:r>
      <w:r>
        <w:rPr>
          <w:u w:val="single"/>
        </w:rPr>
        <w:t>　　</w:t>
      </w:r>
      <w:r>
        <w:rPr>
          <w:u w:val="single"/>
        </w:rPr>
        <w:t>　　</w:t>
      </w:r>
      <w:r>
        <w:rPr>
          <w:u w:val="single"/>
        </w:rPr>
        <w:t>　　</w:t>
      </w:r>
      <w:r>
        <w:rPr/>
        <w:t xml:space="preserve"> 传真号：</w:t>
      </w:r>
      <w:r>
        <w:rPr>
          <w:u w:val="single"/>
        </w:rPr>
        <w:t>　　</w:t>
      </w:r>
      <w:r>
        <w:rPr>
          <w:u w:val="single"/>
        </w:rPr>
        <w:t>　　</w:t>
      </w:r>
      <w:r>
        <w:rPr>
          <w:u w:val="single"/>
        </w:rPr>
        <w:t>　　</w:t>
      </w:r>
    </w:p>
    <w:p>
      <w:pPr>
        <w:pStyle w:val="null3"/>
        <w:ind w:firstLine="480"/>
        <w:jc w:val="left"/>
      </w:pPr>
      <w:r>
        <w:rPr/>
        <w:t>联系电话（固定电话和移动电话）：</w:t>
      </w:r>
      <w:r>
        <w:rPr>
          <w:u w:val="single"/>
        </w:rPr>
        <w:t>　　</w:t>
      </w:r>
      <w:r>
        <w:rPr>
          <w:u w:val="single"/>
        </w:rPr>
        <w:t>　　</w:t>
      </w:r>
      <w:r>
        <w:rPr>
          <w:u w:val="single"/>
        </w:rPr>
        <w:t>　　</w:t>
      </w:r>
      <w:r>
        <w:rPr>
          <w:u w:val="single"/>
        </w:rPr>
        <w:t>　　</w:t>
      </w:r>
    </w:p>
    <w:p>
      <w:pPr>
        <w:pStyle w:val="null3"/>
        <w:ind w:firstLine="480"/>
        <w:jc w:val="left"/>
      </w:pPr>
      <w:r>
        <w:rPr/>
        <w:t>供应商代表：</w:t>
      </w:r>
      <w:r>
        <w:rPr>
          <w:u w:val="single"/>
        </w:rPr>
        <w:t>　　</w:t>
      </w:r>
      <w:r>
        <w:rPr>
          <w:u w:val="single"/>
        </w:rPr>
        <w:t>（签字）</w:t>
      </w:r>
      <w:r>
        <w:rPr>
          <w:u w:val="single"/>
        </w:rPr>
        <w:t>　　</w:t>
      </w:r>
    </w:p>
    <w:p>
      <w:pPr>
        <w:pStyle w:val="null3"/>
        <w:ind w:firstLine="480"/>
        <w:jc w:val="left"/>
      </w:pPr>
      <w:r>
        <w:rPr/>
        <w:t>供应商代表电子信箱：</w:t>
      </w:r>
      <w:r>
        <w:rPr>
          <w:u w:val="single"/>
        </w:rPr>
        <w:t>　　</w:t>
      </w:r>
      <w:r>
        <w:rPr>
          <w:u w:val="single"/>
        </w:rPr>
        <w:t>　　</w:t>
      </w:r>
      <w:r>
        <w:rPr>
          <w:u w:val="single"/>
        </w:rPr>
        <w:t>　　</w:t>
      </w:r>
      <w:r>
        <w:rPr>
          <w:u w:val="single"/>
        </w:rPr>
        <w:t>　　</w:t>
      </w:r>
    </w:p>
    <w:p>
      <w:pPr>
        <w:pStyle w:val="null3"/>
        <w:ind w:firstLine="480"/>
        <w:jc w:val="left"/>
      </w:pPr>
      <w:r>
        <w:rPr/>
        <w:t>供应商：</w:t>
      </w:r>
      <w:r>
        <w:rPr>
          <w:u w:val="single"/>
        </w:rPr>
        <w:t>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附件2 报价一览表</w:t>
      </w:r>
    </w:p>
    <w:p>
      <w:pPr>
        <w:pStyle w:val="null3"/>
        <w:ind w:firstLine="480"/>
        <w:jc w:val="left"/>
      </w:pPr>
      <w:r>
        <w:rPr/>
        <w:t>供应商名称：</w:t>
      </w:r>
      <w:r>
        <w:rPr>
          <w:u w:val="single"/>
        </w:rPr>
        <w:t>（全称加盖单位公章）</w:t>
      </w:r>
      <w:r>
        <w:rPr/>
        <w:t xml:space="preserve"> 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首次报价</w:t>
            </w:r>
          </w:p>
        </w:tc>
        <w:tc>
          <w:tcPr>
            <w:tcW w:type="dxa" w:w="2026"/>
          </w:tcPr>
          <w:p>
            <w:pPr>
              <w:pStyle w:val="null3"/>
              <w:jc w:val="left"/>
            </w:pPr>
            <w:r>
              <w:rPr/>
              <w:t>交货期/工期/项目完成时间/服务时间</w:t>
            </w:r>
          </w:p>
        </w:tc>
        <w:tc>
          <w:tcPr>
            <w:tcW w:type="dxa" w:w="2026"/>
          </w:tcPr>
          <w:p>
            <w:pPr>
              <w:pStyle w:val="null3"/>
              <w:jc w:val="left"/>
            </w:pPr>
            <w:r>
              <w:rPr/>
              <w:t>磋商保证金</w:t>
            </w:r>
          </w:p>
        </w:tc>
        <w:tc>
          <w:tcPr>
            <w:tcW w:type="dxa" w:w="2026"/>
          </w:tcPr>
          <w:p>
            <w:pPr>
              <w:pStyle w:val="null3"/>
              <w:jc w:val="left"/>
            </w:pPr>
            <w:r>
              <w:rPr/>
              <w:t>备注</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ind w:firstLine="480"/>
        <w:jc w:val="left"/>
      </w:pPr>
      <w:r>
        <w:rPr/>
        <w:t>备注：详细报价书另纸详列，格式自拟。</w:t>
      </w:r>
    </w:p>
    <w:p>
      <w:pPr>
        <w:pStyle w:val="null3"/>
        <w:ind w:firstLine="480"/>
        <w:jc w:val="left"/>
      </w:pPr>
      <w:r>
        <w:rPr/>
        <w:t>供应商代表：</w:t>
      </w:r>
      <w:r>
        <w:rPr>
          <w:u w:val="single"/>
        </w:rPr>
        <w:t xml:space="preserve">　　　　 </w:t>
      </w:r>
      <w:r>
        <w:rPr>
          <w:u w:val="single"/>
        </w:rPr>
        <w:t>（签字）</w:t>
      </w:r>
    </w:p>
    <w:p>
      <w:pPr>
        <w:pStyle w:val="null3"/>
        <w:jc w:val="left"/>
      </w:pPr>
      <w:r>
        <w:rPr/>
        <w:t xml:space="preserve"> </w:t>
        <w:br/>
        <w:br w:type="page"/>
      </w:r>
    </w:p>
    <w:p>
      <w:pPr>
        <w:pStyle w:val="null3"/>
        <w:jc w:val="center"/>
        <w:outlineLvl w:val="3"/>
      </w:pPr>
      <w:r>
        <w:rPr>
          <w:b/>
          <w:sz w:val="24"/>
        </w:rPr>
        <w:t>附件2-1 详细报价书</w:t>
      </w:r>
    </w:p>
    <w:p>
      <w:pPr>
        <w:pStyle w:val="null3"/>
        <w:jc w:val="left"/>
      </w:pPr>
      <w:r>
        <w:rPr>
          <w:b/>
        </w:rPr>
        <w:t>说明：</w:t>
      </w:r>
    </w:p>
    <w:p>
      <w:pPr>
        <w:pStyle w:val="null3"/>
        <w:ind w:firstLine="480"/>
        <w:jc w:val="left"/>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left"/>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t xml:space="preserve"> 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t>供应商代表：</w:t>
      </w:r>
      <w:r>
        <w:rPr>
          <w:u w:val="single"/>
        </w:rPr>
        <w:t>　　</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r>
        <w:rPr>
          <w:u w:val="single"/>
        </w:rPr>
        <w:t xml:space="preserve">　　 </w:t>
      </w:r>
      <w:r>
        <w:rPr>
          <w:u w:val="single"/>
        </w:rPr>
        <w:t xml:space="preserve">　　 </w:t>
      </w:r>
      <w:r>
        <w:rPr>
          <w:u w:val="single"/>
        </w:rPr>
        <w:t>　　</w:t>
      </w:r>
    </w:p>
    <w:p>
      <w:pPr>
        <w:pStyle w:val="null3"/>
        <w:ind w:firstLine="480"/>
        <w:jc w:val="left"/>
      </w:pPr>
      <w:r>
        <w:rPr/>
        <w:t>2.2注册地址：</w:t>
      </w:r>
      <w:r>
        <w:rPr>
          <w:u w:val="single"/>
        </w:rPr>
        <w:t xml:space="preserve">           </w:t>
      </w:r>
      <w:r>
        <w:rPr>
          <w:u w:val="single"/>
        </w:rPr>
        <w:t xml:space="preserve">　　 </w:t>
      </w:r>
      <w:r>
        <w:rPr>
          <w:u w:val="single"/>
        </w:rPr>
        <w:t xml:space="preserve">　　 </w:t>
      </w:r>
      <w:r>
        <w:rPr>
          <w:u w:val="single"/>
        </w:rPr>
        <w:t xml:space="preserve">　　 </w:t>
      </w:r>
      <w:r>
        <w:rPr>
          <w:u w:val="single"/>
        </w:rPr>
        <w:t>　　</w:t>
      </w:r>
    </w:p>
    <w:p>
      <w:pPr>
        <w:pStyle w:val="null3"/>
        <w:ind w:firstLine="480"/>
        <w:jc w:val="left"/>
      </w:pPr>
      <w:r>
        <w:rPr/>
        <w:t>2.3单位负责人姓名：</w:t>
      </w:r>
      <w:r>
        <w:rPr>
          <w:u w:val="single"/>
        </w:rPr>
        <w:t xml:space="preserve">  </w:t>
      </w:r>
      <w:r>
        <w:rPr>
          <w:u w:val="single"/>
        </w:rPr>
        <w:t xml:space="preserve">　　 </w:t>
      </w:r>
      <w:r>
        <w:rPr>
          <w:u w:val="single"/>
        </w:rPr>
        <w:t xml:space="preserve">　　 </w:t>
      </w:r>
      <w:r>
        <w:rPr/>
        <w:t>性别：</w:t>
      </w:r>
      <w:r>
        <w:rPr>
          <w:u w:val="single"/>
        </w:rPr>
        <w:t xml:space="preserve">  </w:t>
      </w:r>
      <w:r>
        <w:rPr>
          <w:u w:val="single"/>
        </w:rPr>
        <w:t xml:space="preserve">　　 </w:t>
      </w:r>
      <w:r>
        <w:rPr/>
        <w:t>年龄：</w:t>
      </w:r>
      <w:r>
        <w:rPr>
          <w:u w:val="single"/>
        </w:rPr>
        <w:t xml:space="preserve">  </w:t>
      </w:r>
      <w:r>
        <w:rPr>
          <w:u w:val="single"/>
        </w:rPr>
        <w:t xml:space="preserve">　　 </w:t>
      </w:r>
      <w:r>
        <w:rPr/>
        <w:t>职务：</w:t>
      </w:r>
      <w:r>
        <w:rPr>
          <w:u w:val="single"/>
        </w:rPr>
        <w:t xml:space="preserve">  </w:t>
      </w:r>
      <w:r>
        <w:rPr>
          <w:u w:val="single"/>
        </w:rPr>
        <w:t xml:space="preserve">　　 </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对于接受联合体形式的磋商且供应商是联合体的，则联合体各成员都应当提交本资格证明文件。</w:t>
      </w:r>
      <w:r>
        <w:br/>
      </w:r>
      <w:r>
        <w:br/>
      </w:r>
      <w:r>
        <w:br/>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磋商文件对合格供应商的一般规定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2、我方对上述声明的真实性、合法性、准确性、有效性负责，并愿意根据磋商文件和磋商过程中贵方要求提供全部现有资料、数据、文件等予以证实。</w:t>
      </w:r>
    </w:p>
    <w:p>
      <w:pPr>
        <w:pStyle w:val="null3"/>
        <w:ind w:firstLine="480"/>
        <w:jc w:val="left"/>
      </w:pPr>
      <w:r>
        <w:rPr/>
        <w:t>备注：对于接受联合体形式的磋商且供应商是联合体的，则联合体各成员都应当提交本资格证明文件。</w:t>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供应商代表：</w:t>
      </w:r>
      <w:r>
        <w:rPr>
          <w:u w:val="single"/>
        </w:rPr>
        <w:t>　　　　　</w:t>
      </w:r>
      <w:r>
        <w:rPr/>
        <w:t>身份证号：</w:t>
      </w:r>
      <w:r>
        <w:rPr>
          <w:u w:val="single"/>
        </w:rPr>
        <w:t>　　　　　</w:t>
      </w:r>
      <w:r>
        <w:rPr/>
        <w:t>手机：</w:t>
      </w:r>
      <w:r>
        <w:rPr>
          <w:u w:val="single"/>
        </w:rPr>
        <w:t>　　　　　</w:t>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w:t>
      </w:r>
      <w:r>
        <w:rPr>
          <w:u w:val="single"/>
        </w:rPr>
        <w:t>　　　　　</w:t>
      </w:r>
      <w:r>
        <w:br/>
      </w:r>
    </w:p>
    <w:p>
      <w:pPr>
        <w:pStyle w:val="null3"/>
        <w:ind w:firstLine="480"/>
        <w:jc w:val="left"/>
      </w:pPr>
      <w:r>
        <w:rPr/>
        <w:t>接受授权方</w:t>
      </w:r>
    </w:p>
    <w:p>
      <w:pPr>
        <w:pStyle w:val="null3"/>
        <w:ind w:firstLine="480"/>
        <w:jc w:val="left"/>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left"/>
      </w:pPr>
      <w:r>
        <w:rPr/>
        <w:t>附：单位负责人、供应商代表的身份证正反面复印件</w:t>
      </w:r>
    </w:p>
    <w:p>
      <w:pPr>
        <w:pStyle w:val="null3"/>
        <w:jc w:val="left"/>
      </w:pPr>
      <w:r>
        <w:rPr/>
        <w:t>要求：真实、有效、清晰</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t>4、对于接受联合体形式的磋商且供应商是联合体的，则只需要联合体的牵头方提交本授权书，在纸质响应文件正本中的本授权书应为原件</w:t>
      </w:r>
    </w:p>
    <w:p>
      <w:pPr>
        <w:pStyle w:val="null3"/>
        <w:jc w:val="left"/>
      </w:pPr>
      <w:r>
        <w:rPr/>
        <w:t xml:space="preserve"> </w:t>
        <w:br/>
        <w:br w:type="page"/>
      </w:r>
    </w:p>
    <w:p>
      <w:pPr>
        <w:pStyle w:val="null3"/>
        <w:jc w:val="center"/>
        <w:outlineLvl w:val="3"/>
      </w:pPr>
      <w:r>
        <w:rPr>
          <w:b/>
          <w:sz w:val="24"/>
        </w:rPr>
        <w:t>附件3-4 营业执照等证明文件</w:t>
      </w:r>
    </w:p>
    <w:p>
      <w:pPr>
        <w:pStyle w:val="null3"/>
        <w:ind w:firstLine="480"/>
        <w:jc w:val="left"/>
      </w:pPr>
      <w:r>
        <w:rPr/>
        <w:t>致：</w:t>
      </w:r>
      <w:r>
        <w:rPr>
          <w:u w:val="single"/>
        </w:rPr>
        <w:t>（采购人或采购代理机构）</w:t>
      </w:r>
    </w:p>
    <w:p>
      <w:pPr>
        <w:pStyle w:val="null3"/>
        <w:ind w:firstLine="480"/>
        <w:jc w:val="left"/>
      </w:pPr>
      <w:r>
        <w:rPr/>
        <w:t>（ ）供应商为法人（包括企业、事业单位和社会团体）的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 ）供应商为非法人（包括其他组织、自然人）的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附件3-5 财务状况报告</w:t>
      </w:r>
    </w:p>
    <w:p>
      <w:pPr>
        <w:pStyle w:val="null3"/>
        <w:ind w:firstLine="480"/>
        <w:jc w:val="left"/>
      </w:pPr>
      <w:r>
        <w:rPr/>
        <w:t>致：</w:t>
      </w:r>
      <w:r>
        <w:rPr>
          <w:u w:val="single"/>
        </w:rPr>
        <w:t>（采购人或采购代理机构）</w:t>
      </w:r>
    </w:p>
    <w:p>
      <w:pPr>
        <w:pStyle w:val="null3"/>
        <w:ind w:firstLine="480"/>
        <w:jc w:val="left"/>
      </w:pPr>
      <w:r>
        <w:rPr/>
        <w:t>（ ）供应商提供财务报告的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3、对于接受联合体形式的磋商且供应商是联合体的，则联合体各成员都应当提交本资格证明文件。</w:t>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 ）现附上我方依法免税证明材料复印件，上述证明材料真实有效，否则我方负全部责任。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ind w:firstLine="480"/>
        <w:jc w:val="left"/>
      </w:pPr>
      <w:r>
        <w:rPr/>
        <w:t>※注意：</w:t>
      </w:r>
    </w:p>
    <w:p>
      <w:pPr>
        <w:pStyle w:val="null3"/>
        <w:ind w:firstLine="480"/>
        <w:jc w:val="left"/>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附件3-9 信用记录查询结果</w:t>
      </w:r>
    </w:p>
    <w:p>
      <w:pPr>
        <w:pStyle w:val="null3"/>
        <w:ind w:firstLine="480"/>
        <w:jc w:val="left"/>
      </w:pPr>
      <w:r>
        <w:rPr/>
        <w:t>1、由磋商小组通过网站查询并打印供应商的信用记录。</w:t>
      </w:r>
    </w:p>
    <w:p>
      <w:pPr>
        <w:pStyle w:val="null3"/>
        <w:ind w:firstLine="480"/>
        <w:jc w:val="left"/>
      </w:pPr>
      <w:r>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）的响应磋商。现就联合体参加本项目响应磋商的有关事宜达成下列协议：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t>2、联合体各方约定由</w:t>
      </w:r>
      <w:r>
        <w:rPr>
          <w:u w:val="single"/>
        </w:rPr>
        <w:t>（填写“牵头方的全称”）代表联合体办理磋商保证金事宜。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份，联合体各方各执一份，电子响应文件中提交一份。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1、磋商文件接受联合体报价且供应商为联合体的，供应商应提供本协议；否则无须提供。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3、在以联合体形式落实中小企业预留份额项目中，供应商除了要提供《中小企业声明函》，还需提供本协议。</w:t>
      </w:r>
    </w:p>
    <w:p>
      <w:pPr>
        <w:pStyle w:val="null3"/>
        <w:ind w:firstLine="480"/>
        <w:jc w:val="left"/>
      </w:pPr>
      <w:r>
        <w:rPr/>
        <w:t>4、在以联合体形式落实中小企业预留份额项目中，供应商除了要提供《中小企业声明函》，还需提供本协议。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附件3-11 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1.磋商文件接受合同分包且供应商拟将合同分包的，应提供本协议；否则无须提供。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t>特此申明。</w:t>
      </w:r>
      <w:r>
        <w:br/>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2、请供应商根据实际情况如实声明，否则视为提供虚假材料。</w:t>
      </w:r>
    </w:p>
    <w:p>
      <w:pPr>
        <w:pStyle w:val="null3"/>
        <w:jc w:val="left"/>
      </w:pPr>
      <w:r>
        <w:rPr/>
        <w:t xml:space="preserve"> </w:t>
        <w:br/>
        <w:br w:type="page"/>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left"/>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left"/>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2、磋商保证金是否已提交按照磋商文件规定执行。</w:t>
      </w:r>
    </w:p>
    <w:p>
      <w:pPr>
        <w:pStyle w:val="null3"/>
        <w:jc w:val="left"/>
      </w:pPr>
      <w:r>
        <w:rPr/>
        <w:t xml:space="preserve"> </w:t>
        <w:br/>
        <w:br w:type="page"/>
      </w:r>
    </w:p>
    <w:p>
      <w:pPr>
        <w:pStyle w:val="null3"/>
        <w:jc w:val="center"/>
        <w:outlineLvl w:val="2"/>
      </w:pPr>
      <w:r>
        <w:rPr>
          <w:b/>
          <w:sz w:val="28"/>
        </w:rPr>
        <w:t>附件5-1 技术和服务要求响应表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3"/>
      </w:pPr>
      <w:r>
        <w:rPr>
          <w:b/>
          <w:sz w:val="24"/>
        </w:rPr>
        <w:t>附件5-2        商务条件和其它事项响应表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left"/>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 xml:space="preserve"> 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r>
        <w:br/>
      </w:r>
    </w:p>
    <w:p>
      <w:pPr>
        <w:pStyle w:val="null3"/>
        <w:ind w:firstLine="480"/>
        <w:jc w:val="left"/>
      </w:pPr>
      <w:r>
        <w:rPr/>
        <w:t xml:space="preserve"> ※注意：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t xml:space="preserve"> </w:t>
        <w:br/>
        <w:br w:type="page"/>
      </w:r>
    </w:p>
    <w:p>
      <w:pPr>
        <w:pStyle w:val="null3"/>
        <w:jc w:val="center"/>
        <w:outlineLvl w:val="3"/>
      </w:pPr>
      <w:r>
        <w:rPr>
          <w:b/>
          <w:sz w:val="24"/>
        </w:rPr>
        <w:t xml:space="preserve"> 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left"/>
      </w:pPr>
      <w:r>
        <w:rPr/>
        <w:t>（ ）由本供应商承建的</w:t>
      </w:r>
      <w:r>
        <w:rPr>
          <w:u w:val="single"/>
        </w:rPr>
        <w:t>（填写“所投采购包、品目号”）</w:t>
      </w:r>
      <w:r>
        <w:rPr/>
        <w:t>工程</w:t>
      </w:r>
    </w:p>
    <w:p>
      <w:pPr>
        <w:pStyle w:val="null3"/>
        <w:ind w:firstLine="480"/>
        <w:jc w:val="left"/>
      </w:pPr>
      <w:r>
        <w:rPr/>
        <w:t>（ ）由本供应商承接的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r>
        <w:br/>
      </w:r>
      <w:r>
        <w:br/>
      </w:r>
    </w:p>
    <w:p>
      <w:pPr>
        <w:pStyle w:val="null3"/>
        <w:ind w:firstLine="480"/>
        <w:jc w:val="left"/>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t>（2）请供应商按照实际情况编制填写本声明函，并在相应的（）中打“√”。</w:t>
      </w:r>
    </w:p>
    <w:p>
      <w:pPr>
        <w:pStyle w:val="null3"/>
        <w:ind w:firstLine="480"/>
        <w:jc w:val="left"/>
      </w:pPr>
      <w:r>
        <w:rPr/>
        <w:t>（3）纸质响应文件正本中的本声明函（若有）应为原件。</w:t>
      </w:r>
    </w:p>
    <w:p>
      <w:pPr>
        <w:pStyle w:val="null3"/>
        <w:ind w:firstLine="480"/>
        <w:jc w:val="left"/>
      </w:pPr>
      <w:r>
        <w:rPr/>
        <w:t>（4）若《残疾人福利性单位声明函》内容不真实，视为提供虚假材料。</w:t>
      </w:r>
    </w:p>
    <w:p>
      <w:pPr>
        <w:pStyle w:val="null3"/>
        <w:jc w:val="left"/>
      </w:pPr>
      <w:r>
        <w:rPr/>
        <w:t xml:space="preserve"> </w:t>
        <w:br/>
        <w:br w:type="page"/>
      </w:r>
    </w:p>
    <w:p>
      <w:pPr>
        <w:pStyle w:val="null3"/>
        <w:jc w:val="center"/>
        <w:outlineLvl w:val="3"/>
      </w:pPr>
      <w:r>
        <w:rPr>
          <w:b/>
          <w:sz w:val="24"/>
        </w:rPr>
        <w:t>附件7-1-3 监狱企业证明材料</w:t>
      </w:r>
    </w:p>
    <w:p>
      <w:pPr>
        <w:pStyle w:val="null3"/>
        <w:ind w:firstLine="480"/>
        <w:jc w:val="left"/>
      </w:pPr>
      <w:r>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tcPr>
          <w:p>
            <w:pPr>
              <w:pStyle w:val="null3"/>
              <w:jc w:val="center"/>
            </w:pPr>
            <w:r>
              <w:rPr/>
              <w:t>备注</w:t>
            </w:r>
          </w:p>
        </w:tc>
        <w:tc>
          <w:tcPr>
            <w:tcW w:type="dxa" w:w="7476"/>
            <w:gridSpan w:val="6"/>
          </w:tcPr>
          <w:p>
            <w:pPr>
              <w:pStyle w:val="null3"/>
              <w:jc w:val="left"/>
            </w:pPr>
            <w:r>
              <w:rPr/>
              <w:t>a.采购包内属于节能、环境标志产品的报价总金额：</w:t>
            </w:r>
            <w:r>
              <w:rPr>
                <w:u w:val="single"/>
              </w:rPr>
              <w:t xml:space="preserve">           </w:t>
            </w:r>
            <w:r>
              <w:rPr/>
              <w:t>；</w:t>
            </w:r>
          </w:p>
          <w:p>
            <w:pPr>
              <w:pStyle w:val="null3"/>
              <w:jc w:val="left"/>
            </w:pPr>
            <w:r>
              <w:rPr/>
              <w:t>b.采购包投标总价（报价总金额）：</w:t>
            </w:r>
            <w:r>
              <w:rPr>
                <w:u w:val="single"/>
              </w:rPr>
              <w:t xml:space="preserve">           </w:t>
            </w:r>
            <w:r>
              <w:rPr/>
              <w:t>；</w:t>
            </w:r>
          </w:p>
          <w:p>
            <w:pPr>
              <w:pStyle w:val="null3"/>
              <w:jc w:val="left"/>
            </w:pPr>
            <w:r>
              <w:rPr/>
              <w:t>c.“采购包内属于节能、环境标志产品的报价总金额”占“采购包投标总价（报价总金额）”的比例（以%列示）：</w:t>
            </w:r>
            <w:r>
              <w:rPr>
                <w:u w:val="single"/>
              </w:rPr>
              <w:t xml:space="preserve">           </w:t>
            </w:r>
            <w:r>
              <w:rPr/>
              <w:t>；</w:t>
            </w:r>
          </w:p>
        </w:tc>
      </w:tr>
    </w:tbl>
    <w:p>
      <w:pPr>
        <w:pStyle w:val="null3"/>
        <w:ind w:firstLine="480"/>
        <w:jc w:val="left"/>
      </w:pPr>
      <w:r>
        <w:rPr/>
        <w:t>※注意</w:t>
      </w:r>
    </w:p>
    <w:p>
      <w:pPr>
        <w:pStyle w:val="null3"/>
        <w:ind w:firstLine="480"/>
        <w:jc w:val="left"/>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jc w:val="left"/>
      </w:pPr>
      <w:r>
        <w:rPr/>
        <w:t>2、本表以采购包为单位，不同采购包请分别填写；单个采购包请按照其品目号顺序分别填写。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3.3供应商应按照磋商文件上表要求认真统计、计算，否则磋商小组可不予认定。</w:t>
      </w:r>
    </w:p>
    <w:p>
      <w:pPr>
        <w:pStyle w:val="null3"/>
        <w:ind w:firstLine="480"/>
        <w:jc w:val="left"/>
      </w:pPr>
      <w:r>
        <w:rPr/>
        <w:t>3.4若无节能、环境标志产品，不填写本表，否则，视为提供虚假材料。</w:t>
      </w:r>
    </w:p>
    <w:p>
      <w:pPr>
        <w:pStyle w:val="null3"/>
        <w:ind w:firstLine="480"/>
        <w:jc w:val="left"/>
      </w:pPr>
      <w:r>
        <w:rPr/>
        <w:t>3.5强制类节能产品不享受价格扣除。</w:t>
      </w:r>
    </w:p>
    <w:p>
      <w:pPr>
        <w:pStyle w:val="null3"/>
        <w:ind w:firstLine="480"/>
        <w:jc w:val="left"/>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jc w:val="left"/>
      </w:pPr>
      <w:r>
        <w:rPr/>
        <w:t>5、纸质响应文件正本中的本表（若有）应为原件。</w:t>
      </w:r>
    </w:p>
    <w:p>
      <w:pPr>
        <w:pStyle w:val="null3"/>
        <w:ind w:firstLine="480"/>
        <w:jc w:val="left"/>
      </w:pPr>
      <w:r>
        <w:rPr/>
        <w:t>供应商代表：</w:t>
      </w:r>
      <w:r>
        <w:rPr>
          <w:u w:val="single"/>
        </w:rPr>
        <w:t>　　　</w:t>
      </w:r>
      <w:r>
        <w:rPr>
          <w:u w:val="single"/>
        </w:rPr>
        <w:t>（签字）</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