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1CB050" w14:textId="77777777" w:rsidR="00750991" w:rsidRPr="00750991" w:rsidRDefault="00750991" w:rsidP="00750991">
      <w:pPr>
        <w:pStyle w:val="BodyText1I2"/>
        <w:ind w:firstLine="0"/>
        <w:outlineLvl w:val="0"/>
        <w:rPr>
          <w:rFonts w:ascii="黑体" w:eastAsia="黑体" w:hAnsi="黑体" w:cs="仿宋_GB2312"/>
          <w:sz w:val="32"/>
          <w:szCs w:val="32"/>
        </w:rPr>
      </w:pPr>
      <w:r w:rsidRPr="00750991">
        <w:rPr>
          <w:rFonts w:ascii="黑体" w:eastAsia="黑体" w:hAnsi="黑体" w:cs="仿宋_GB2312" w:hint="eastAsia"/>
          <w:sz w:val="32"/>
          <w:szCs w:val="32"/>
        </w:rPr>
        <w:t>附件1：</w:t>
      </w:r>
    </w:p>
    <w:p w14:paraId="117AE828" w14:textId="38C4EF4A" w:rsidR="00750991" w:rsidRDefault="00750991" w:rsidP="00750991">
      <w:pPr>
        <w:pStyle w:val="BodyText1I2"/>
        <w:ind w:firstLine="0"/>
        <w:jc w:val="center"/>
        <w:outlineLvl w:val="0"/>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福建省养老服务综合信息平台维护服务要求</w:t>
      </w:r>
    </w:p>
    <w:p w14:paraId="3328F6F0" w14:textId="77777777" w:rsidR="00750991" w:rsidRDefault="00750991" w:rsidP="00750991">
      <w:pPr>
        <w:pStyle w:val="2"/>
        <w:numPr>
          <w:ilvl w:val="0"/>
          <w:numId w:val="1"/>
        </w:numPr>
        <w:tabs>
          <w:tab w:val="num" w:pos="360"/>
        </w:tabs>
        <w:spacing w:line="360" w:lineRule="auto"/>
        <w:rPr>
          <w:rFonts w:ascii="仿宋_GB2312" w:eastAsia="仿宋_GB2312" w:hAnsi="仿宋_GB2312" w:cs="仿宋_GB2312" w:hint="eastAsia"/>
        </w:rPr>
      </w:pPr>
      <w:r>
        <w:rPr>
          <w:rFonts w:ascii="仿宋_GB2312" w:eastAsia="仿宋_GB2312" w:hAnsi="仿宋_GB2312" w:cs="仿宋_GB2312" w:hint="eastAsia"/>
        </w:rPr>
        <w:t>技术服务要求</w:t>
      </w:r>
    </w:p>
    <w:p w14:paraId="459615B3" w14:textId="77777777" w:rsidR="00750991" w:rsidRDefault="00750991" w:rsidP="00750991">
      <w:pPr>
        <w:numPr>
          <w:ilvl w:val="0"/>
          <w:numId w:val="2"/>
        </w:numPr>
        <w:spacing w:line="360" w:lineRule="auto"/>
        <w:ind w:left="0" w:firstLineChars="200" w:firstLine="640"/>
        <w:rPr>
          <w:rFonts w:ascii="仿宋" w:eastAsia="仿宋" w:hAnsi="仿宋" w:cs="仿宋" w:hint="eastAsia"/>
          <w:sz w:val="32"/>
          <w:szCs w:val="32"/>
        </w:rPr>
      </w:pPr>
      <w:r>
        <w:rPr>
          <w:rFonts w:ascii="仿宋" w:eastAsia="仿宋" w:hAnsi="仿宋" w:cs="仿宋"/>
          <w:sz w:val="32"/>
          <w:szCs w:val="32"/>
        </w:rPr>
        <w:t>负责福建省养老服务综合信息平台的日常维护工作。</w:t>
      </w:r>
    </w:p>
    <w:p w14:paraId="29CB5CEE" w14:textId="77777777" w:rsidR="00750991" w:rsidRDefault="00750991" w:rsidP="00750991">
      <w:pPr>
        <w:numPr>
          <w:ilvl w:val="0"/>
          <w:numId w:val="2"/>
        </w:numPr>
        <w:spacing w:line="360" w:lineRule="auto"/>
        <w:ind w:left="0" w:firstLineChars="200" w:firstLine="640"/>
        <w:rPr>
          <w:rFonts w:ascii="仿宋" w:eastAsia="仿宋" w:hAnsi="仿宋" w:cs="仿宋" w:hint="eastAsia"/>
          <w:sz w:val="32"/>
          <w:szCs w:val="32"/>
        </w:rPr>
      </w:pPr>
      <w:r>
        <w:rPr>
          <w:rFonts w:ascii="仿宋" w:eastAsia="仿宋" w:hAnsi="仿宋" w:cs="仿宋" w:hint="eastAsia"/>
          <w:sz w:val="32"/>
          <w:szCs w:val="32"/>
        </w:rPr>
        <w:t>负责福建省养老服务综合信息平台</w:t>
      </w:r>
      <w:proofErr w:type="gramStart"/>
      <w:r>
        <w:rPr>
          <w:rFonts w:ascii="仿宋" w:eastAsia="仿宋" w:hAnsi="仿宋" w:cs="仿宋"/>
          <w:sz w:val="32"/>
          <w:szCs w:val="32"/>
        </w:rPr>
        <w:t>三级等保复测</w:t>
      </w:r>
      <w:proofErr w:type="gramEnd"/>
      <w:r>
        <w:rPr>
          <w:rFonts w:ascii="仿宋" w:eastAsia="仿宋" w:hAnsi="仿宋" w:cs="仿宋"/>
          <w:sz w:val="32"/>
          <w:szCs w:val="32"/>
        </w:rPr>
        <w:t>，并</w:t>
      </w:r>
      <w:r>
        <w:rPr>
          <w:rFonts w:ascii="仿宋" w:eastAsia="仿宋" w:hAnsi="仿宋" w:cs="仿宋" w:hint="eastAsia"/>
          <w:sz w:val="32"/>
          <w:szCs w:val="32"/>
        </w:rPr>
        <w:t>按要求</w:t>
      </w:r>
      <w:r>
        <w:rPr>
          <w:rFonts w:ascii="仿宋" w:eastAsia="仿宋" w:hAnsi="仿宋" w:cs="仿宋"/>
          <w:sz w:val="32"/>
          <w:szCs w:val="32"/>
        </w:rPr>
        <w:t>完成漏洞整改。</w:t>
      </w:r>
    </w:p>
    <w:p w14:paraId="79B8D553" w14:textId="77777777" w:rsidR="00750991" w:rsidRDefault="00750991" w:rsidP="00750991">
      <w:pPr>
        <w:numPr>
          <w:ilvl w:val="0"/>
          <w:numId w:val="2"/>
        </w:numPr>
        <w:spacing w:line="360" w:lineRule="auto"/>
        <w:ind w:left="0" w:firstLineChars="200" w:firstLine="640"/>
        <w:rPr>
          <w:rFonts w:ascii="仿宋" w:eastAsia="仿宋" w:hAnsi="仿宋" w:cs="仿宋" w:hint="eastAsia"/>
          <w:sz w:val="32"/>
          <w:szCs w:val="32"/>
        </w:rPr>
      </w:pPr>
      <w:r>
        <w:rPr>
          <w:rFonts w:ascii="仿宋" w:eastAsia="仿宋" w:hAnsi="仿宋" w:cs="仿宋" w:hint="eastAsia"/>
          <w:sz w:val="32"/>
          <w:szCs w:val="32"/>
        </w:rPr>
        <w:t>负责福建省养老服务综合信息平台</w:t>
      </w:r>
      <w:r>
        <w:rPr>
          <w:rFonts w:ascii="仿宋" w:eastAsia="仿宋" w:hAnsi="仿宋" w:cs="仿宋"/>
          <w:sz w:val="32"/>
          <w:szCs w:val="32"/>
        </w:rPr>
        <w:t>网络安全检查，并</w:t>
      </w:r>
      <w:r>
        <w:rPr>
          <w:rFonts w:ascii="仿宋" w:eastAsia="仿宋" w:hAnsi="仿宋" w:cs="仿宋" w:hint="eastAsia"/>
          <w:sz w:val="32"/>
          <w:szCs w:val="32"/>
        </w:rPr>
        <w:t>按要求</w:t>
      </w:r>
      <w:r>
        <w:rPr>
          <w:rFonts w:ascii="仿宋" w:eastAsia="仿宋" w:hAnsi="仿宋" w:cs="仿宋"/>
          <w:sz w:val="32"/>
          <w:szCs w:val="32"/>
        </w:rPr>
        <w:t>完成漏洞修复</w:t>
      </w:r>
      <w:r>
        <w:rPr>
          <w:rFonts w:ascii="仿宋" w:eastAsia="仿宋" w:hAnsi="仿宋" w:cs="仿宋" w:hint="eastAsia"/>
          <w:sz w:val="32"/>
          <w:szCs w:val="32"/>
        </w:rPr>
        <w:t xml:space="preserve">。 </w:t>
      </w:r>
    </w:p>
    <w:p w14:paraId="42DCBA34" w14:textId="77777777" w:rsidR="00750991" w:rsidRDefault="00750991" w:rsidP="00750991">
      <w:pPr>
        <w:numPr>
          <w:ilvl w:val="0"/>
          <w:numId w:val="2"/>
        </w:numPr>
        <w:spacing w:line="360" w:lineRule="auto"/>
        <w:ind w:left="0" w:firstLineChars="200" w:firstLine="640"/>
        <w:rPr>
          <w:rFonts w:ascii="仿宋" w:eastAsia="仿宋" w:hAnsi="仿宋" w:cs="仿宋" w:hint="eastAsia"/>
          <w:sz w:val="32"/>
          <w:szCs w:val="32"/>
        </w:rPr>
      </w:pPr>
      <w:r>
        <w:rPr>
          <w:rFonts w:ascii="仿宋" w:eastAsia="仿宋" w:hAnsi="仿宋" w:cs="仿宋"/>
          <w:sz w:val="32"/>
          <w:szCs w:val="32"/>
        </w:rPr>
        <w:t>当</w:t>
      </w:r>
      <w:r>
        <w:rPr>
          <w:rFonts w:ascii="仿宋" w:eastAsia="仿宋" w:hAnsi="仿宋" w:cs="仿宋" w:hint="eastAsia"/>
          <w:sz w:val="32"/>
          <w:szCs w:val="32"/>
        </w:rPr>
        <w:t>政府</w:t>
      </w:r>
      <w:r>
        <w:rPr>
          <w:rFonts w:ascii="仿宋" w:eastAsia="仿宋" w:hAnsi="仿宋" w:cs="仿宋"/>
          <w:sz w:val="32"/>
          <w:szCs w:val="32"/>
        </w:rPr>
        <w:t>养老</w:t>
      </w:r>
      <w:r>
        <w:rPr>
          <w:rFonts w:ascii="仿宋" w:eastAsia="仿宋" w:hAnsi="仿宋" w:cs="仿宋" w:hint="eastAsia"/>
          <w:sz w:val="32"/>
          <w:szCs w:val="32"/>
        </w:rPr>
        <w:t>相关</w:t>
      </w:r>
      <w:r>
        <w:rPr>
          <w:rFonts w:ascii="仿宋" w:eastAsia="仿宋" w:hAnsi="仿宋" w:cs="仿宋"/>
          <w:sz w:val="32"/>
          <w:szCs w:val="32"/>
        </w:rPr>
        <w:t>政策发生</w:t>
      </w:r>
      <w:r>
        <w:rPr>
          <w:rFonts w:ascii="仿宋" w:eastAsia="仿宋" w:hAnsi="仿宋" w:cs="仿宋" w:hint="eastAsia"/>
          <w:sz w:val="32"/>
          <w:szCs w:val="32"/>
        </w:rPr>
        <w:t>调整时</w:t>
      </w:r>
      <w:r>
        <w:rPr>
          <w:rFonts w:ascii="仿宋" w:eastAsia="仿宋" w:hAnsi="仿宋" w:cs="仿宋"/>
          <w:sz w:val="32"/>
          <w:szCs w:val="32"/>
        </w:rPr>
        <w:t>，</w:t>
      </w:r>
      <w:r>
        <w:rPr>
          <w:rFonts w:ascii="仿宋" w:eastAsia="仿宋" w:hAnsi="仿宋" w:cs="仿宋" w:hint="eastAsia"/>
          <w:sz w:val="32"/>
          <w:szCs w:val="32"/>
        </w:rPr>
        <w:t>及时</w:t>
      </w:r>
      <w:r>
        <w:rPr>
          <w:rFonts w:ascii="仿宋" w:eastAsia="仿宋" w:hAnsi="仿宋" w:cs="仿宋"/>
          <w:sz w:val="32"/>
          <w:szCs w:val="32"/>
        </w:rPr>
        <w:t>根据</w:t>
      </w:r>
      <w:r>
        <w:rPr>
          <w:rFonts w:ascii="仿宋" w:eastAsia="仿宋" w:hAnsi="仿宋" w:cs="仿宋" w:hint="eastAsia"/>
          <w:sz w:val="32"/>
          <w:szCs w:val="32"/>
        </w:rPr>
        <w:t>最新</w:t>
      </w:r>
      <w:r>
        <w:rPr>
          <w:rFonts w:ascii="仿宋" w:eastAsia="仿宋" w:hAnsi="仿宋" w:cs="仿宋"/>
          <w:sz w:val="32"/>
          <w:szCs w:val="32"/>
        </w:rPr>
        <w:t>政策</w:t>
      </w:r>
      <w:r>
        <w:rPr>
          <w:rFonts w:ascii="仿宋" w:eastAsia="仿宋" w:hAnsi="仿宋" w:cs="仿宋" w:hint="eastAsia"/>
          <w:sz w:val="32"/>
          <w:szCs w:val="32"/>
        </w:rPr>
        <w:t>要求</w:t>
      </w:r>
      <w:r>
        <w:rPr>
          <w:rFonts w:ascii="仿宋" w:eastAsia="仿宋" w:hAnsi="仿宋" w:cs="仿宋"/>
          <w:sz w:val="32"/>
          <w:szCs w:val="32"/>
        </w:rPr>
        <w:t>对</w:t>
      </w:r>
      <w:r>
        <w:rPr>
          <w:rFonts w:ascii="仿宋" w:eastAsia="仿宋" w:hAnsi="仿宋" w:cs="仿宋" w:hint="eastAsia"/>
          <w:sz w:val="32"/>
          <w:szCs w:val="32"/>
        </w:rPr>
        <w:t>福建省养老服务综合信息平台</w:t>
      </w:r>
      <w:r>
        <w:rPr>
          <w:rFonts w:ascii="仿宋" w:eastAsia="仿宋" w:hAnsi="仿宋" w:cs="仿宋"/>
          <w:sz w:val="32"/>
          <w:szCs w:val="32"/>
        </w:rPr>
        <w:t>进行</w:t>
      </w:r>
      <w:r>
        <w:rPr>
          <w:rFonts w:ascii="仿宋" w:eastAsia="仿宋" w:hAnsi="仿宋" w:cs="仿宋" w:hint="eastAsia"/>
          <w:sz w:val="32"/>
          <w:szCs w:val="32"/>
        </w:rPr>
        <w:t>相应</w:t>
      </w:r>
      <w:r>
        <w:rPr>
          <w:rFonts w:ascii="仿宋" w:eastAsia="仿宋" w:hAnsi="仿宋" w:cs="仿宋"/>
          <w:sz w:val="32"/>
          <w:szCs w:val="32"/>
        </w:rPr>
        <w:t>调整。</w:t>
      </w:r>
    </w:p>
    <w:p w14:paraId="28E029D8" w14:textId="77777777" w:rsidR="00750991" w:rsidRDefault="00750991" w:rsidP="00750991">
      <w:pPr>
        <w:numPr>
          <w:ilvl w:val="0"/>
          <w:numId w:val="2"/>
        </w:numPr>
        <w:spacing w:line="360" w:lineRule="auto"/>
        <w:ind w:left="0" w:firstLineChars="200" w:firstLine="640"/>
        <w:rPr>
          <w:rFonts w:ascii="仿宋" w:eastAsia="仿宋" w:hAnsi="仿宋" w:cs="仿宋" w:hint="eastAsia"/>
          <w:sz w:val="32"/>
          <w:szCs w:val="32"/>
        </w:rPr>
      </w:pPr>
      <w:r>
        <w:rPr>
          <w:rFonts w:ascii="仿宋" w:eastAsia="仿宋" w:hAnsi="仿宋" w:cs="仿宋"/>
          <w:sz w:val="32"/>
          <w:szCs w:val="32"/>
        </w:rPr>
        <w:t>负责定期向民政部报送相关数据，并根据民政部反馈结果，进行</w:t>
      </w:r>
      <w:r>
        <w:rPr>
          <w:rFonts w:ascii="仿宋" w:eastAsia="仿宋" w:hAnsi="仿宋" w:cs="仿宋" w:hint="eastAsia"/>
          <w:sz w:val="32"/>
          <w:szCs w:val="32"/>
        </w:rPr>
        <w:t>相应</w:t>
      </w:r>
      <w:r>
        <w:rPr>
          <w:rFonts w:ascii="仿宋" w:eastAsia="仿宋" w:hAnsi="仿宋" w:cs="仿宋"/>
          <w:sz w:val="32"/>
          <w:szCs w:val="32"/>
        </w:rPr>
        <w:t>处置，</w:t>
      </w:r>
      <w:r>
        <w:rPr>
          <w:rFonts w:ascii="仿宋" w:eastAsia="仿宋" w:hAnsi="仿宋" w:cs="仿宋" w:hint="eastAsia"/>
          <w:sz w:val="32"/>
          <w:szCs w:val="32"/>
        </w:rPr>
        <w:t>确保</w:t>
      </w:r>
      <w:r>
        <w:rPr>
          <w:rFonts w:ascii="仿宋" w:eastAsia="仿宋" w:hAnsi="仿宋" w:cs="仿宋"/>
          <w:sz w:val="32"/>
          <w:szCs w:val="32"/>
        </w:rPr>
        <w:t>数据更新的及时</w:t>
      </w:r>
      <w:r>
        <w:rPr>
          <w:rFonts w:ascii="仿宋" w:eastAsia="仿宋" w:hAnsi="仿宋" w:cs="仿宋" w:hint="eastAsia"/>
          <w:sz w:val="32"/>
          <w:szCs w:val="32"/>
        </w:rPr>
        <w:t>性。</w:t>
      </w:r>
    </w:p>
    <w:p w14:paraId="3AB20BDA" w14:textId="77777777" w:rsidR="00750991" w:rsidRDefault="00750991" w:rsidP="00750991">
      <w:pPr>
        <w:numPr>
          <w:ilvl w:val="0"/>
          <w:numId w:val="2"/>
        </w:numPr>
        <w:spacing w:line="360" w:lineRule="auto"/>
        <w:ind w:left="0" w:firstLineChars="200" w:firstLine="640"/>
        <w:rPr>
          <w:rFonts w:ascii="仿宋" w:eastAsia="仿宋" w:hAnsi="仿宋" w:cs="仿宋" w:hint="eastAsia"/>
          <w:sz w:val="32"/>
          <w:szCs w:val="32"/>
        </w:rPr>
      </w:pPr>
      <w:r>
        <w:rPr>
          <w:rFonts w:ascii="仿宋" w:eastAsia="仿宋" w:hAnsi="仿宋" w:cs="仿宋"/>
          <w:sz w:val="32"/>
          <w:szCs w:val="32"/>
        </w:rPr>
        <w:t>负责</w:t>
      </w:r>
      <w:r>
        <w:rPr>
          <w:rFonts w:ascii="仿宋" w:eastAsia="仿宋" w:hAnsi="仿宋" w:cs="仿宋" w:hint="eastAsia"/>
          <w:sz w:val="32"/>
          <w:szCs w:val="32"/>
        </w:rPr>
        <w:t>维护福建省养老服务综合信息平台</w:t>
      </w:r>
      <w:r>
        <w:rPr>
          <w:rFonts w:ascii="仿宋" w:eastAsia="仿宋" w:hAnsi="仿宋" w:cs="仿宋"/>
          <w:sz w:val="32"/>
          <w:szCs w:val="32"/>
        </w:rPr>
        <w:t>各类数据报送、接收接口，</w:t>
      </w:r>
      <w:r>
        <w:rPr>
          <w:rFonts w:ascii="仿宋" w:eastAsia="仿宋" w:hAnsi="仿宋" w:cs="仿宋" w:hint="eastAsia"/>
          <w:sz w:val="32"/>
          <w:szCs w:val="32"/>
        </w:rPr>
        <w:t>随</w:t>
      </w:r>
      <w:r>
        <w:rPr>
          <w:rFonts w:ascii="仿宋" w:eastAsia="仿宋" w:hAnsi="仿宋" w:cs="仿宋"/>
          <w:sz w:val="32"/>
          <w:szCs w:val="32"/>
        </w:rPr>
        <w:t>政策</w:t>
      </w:r>
      <w:r>
        <w:rPr>
          <w:rFonts w:ascii="仿宋" w:eastAsia="仿宋" w:hAnsi="仿宋" w:cs="仿宋" w:hint="eastAsia"/>
          <w:sz w:val="32"/>
          <w:szCs w:val="32"/>
        </w:rPr>
        <w:t>调整</w:t>
      </w:r>
      <w:r>
        <w:rPr>
          <w:rFonts w:ascii="仿宋" w:eastAsia="仿宋" w:hAnsi="仿宋" w:cs="仿宋"/>
          <w:sz w:val="32"/>
          <w:szCs w:val="32"/>
        </w:rPr>
        <w:t>及时</w:t>
      </w:r>
      <w:r>
        <w:rPr>
          <w:rFonts w:ascii="仿宋" w:eastAsia="仿宋" w:hAnsi="仿宋" w:cs="仿宋" w:hint="eastAsia"/>
          <w:sz w:val="32"/>
          <w:szCs w:val="32"/>
        </w:rPr>
        <w:t>修改</w:t>
      </w:r>
      <w:r>
        <w:rPr>
          <w:rFonts w:ascii="仿宋" w:eastAsia="仿宋" w:hAnsi="仿宋" w:cs="仿宋"/>
          <w:sz w:val="32"/>
          <w:szCs w:val="32"/>
        </w:rPr>
        <w:t>接口，确保数据接口满足使用要求。</w:t>
      </w:r>
    </w:p>
    <w:p w14:paraId="5B7D6F81" w14:textId="77777777" w:rsidR="00750991" w:rsidRDefault="00750991" w:rsidP="00750991">
      <w:pPr>
        <w:numPr>
          <w:ilvl w:val="0"/>
          <w:numId w:val="2"/>
        </w:numPr>
        <w:spacing w:line="360" w:lineRule="auto"/>
        <w:ind w:left="0" w:firstLineChars="200" w:firstLine="640"/>
        <w:rPr>
          <w:rFonts w:ascii="仿宋" w:eastAsia="仿宋" w:hAnsi="仿宋" w:cs="仿宋" w:hint="eastAsia"/>
          <w:sz w:val="32"/>
          <w:szCs w:val="32"/>
        </w:rPr>
      </w:pPr>
      <w:r>
        <w:rPr>
          <w:rFonts w:ascii="仿宋" w:eastAsia="仿宋" w:hAnsi="仿宋" w:cs="仿宋"/>
          <w:sz w:val="32"/>
          <w:szCs w:val="32"/>
        </w:rPr>
        <w:t>负责向</w:t>
      </w:r>
      <w:r>
        <w:rPr>
          <w:rFonts w:ascii="仿宋" w:eastAsia="仿宋" w:hAnsi="仿宋" w:cs="仿宋" w:hint="eastAsia"/>
          <w:sz w:val="32"/>
          <w:szCs w:val="32"/>
        </w:rPr>
        <w:t>福建省公共数据汇聚共享平台</w:t>
      </w:r>
      <w:r>
        <w:rPr>
          <w:rFonts w:ascii="仿宋" w:eastAsia="仿宋" w:hAnsi="仿宋" w:cs="仿宋"/>
          <w:sz w:val="32"/>
          <w:szCs w:val="32"/>
        </w:rPr>
        <w:t>推送数据，</w:t>
      </w:r>
      <w:r>
        <w:rPr>
          <w:rFonts w:ascii="仿宋" w:eastAsia="仿宋" w:hAnsi="仿宋" w:cs="仿宋" w:hint="eastAsia"/>
          <w:sz w:val="32"/>
          <w:szCs w:val="32"/>
        </w:rPr>
        <w:t>确保</w:t>
      </w:r>
      <w:r>
        <w:rPr>
          <w:rFonts w:ascii="仿宋" w:eastAsia="仿宋" w:hAnsi="仿宋" w:cs="仿宋"/>
          <w:sz w:val="32"/>
          <w:szCs w:val="32"/>
        </w:rPr>
        <w:t>数据更新的及时性与准确性。</w:t>
      </w:r>
    </w:p>
    <w:p w14:paraId="762B8260" w14:textId="77777777" w:rsidR="00750991" w:rsidRDefault="00750991" w:rsidP="00750991">
      <w:pPr>
        <w:numPr>
          <w:ilvl w:val="0"/>
          <w:numId w:val="2"/>
        </w:numPr>
        <w:spacing w:line="360" w:lineRule="auto"/>
        <w:ind w:left="0" w:firstLineChars="200" w:firstLine="640"/>
        <w:rPr>
          <w:rFonts w:ascii="仿宋" w:eastAsia="仿宋" w:hAnsi="仿宋" w:cs="仿宋" w:hint="eastAsia"/>
          <w:sz w:val="32"/>
          <w:szCs w:val="32"/>
        </w:rPr>
      </w:pPr>
      <w:r>
        <w:rPr>
          <w:rFonts w:ascii="仿宋" w:eastAsia="仿宋" w:hAnsi="仿宋" w:cs="仿宋"/>
          <w:sz w:val="32"/>
          <w:szCs w:val="32"/>
        </w:rPr>
        <w:t>负责福建省养老服务综合信息平台网络、存储、计算资源的日常巡查。</w:t>
      </w:r>
    </w:p>
    <w:p w14:paraId="7E3586E5" w14:textId="77777777" w:rsidR="00750991" w:rsidRDefault="00750991" w:rsidP="00750991">
      <w:pPr>
        <w:numPr>
          <w:ilvl w:val="0"/>
          <w:numId w:val="2"/>
        </w:numPr>
        <w:spacing w:line="360" w:lineRule="auto"/>
        <w:ind w:left="0" w:firstLineChars="200" w:firstLine="640"/>
        <w:rPr>
          <w:rFonts w:ascii="仿宋" w:eastAsia="仿宋" w:hAnsi="仿宋" w:cs="仿宋" w:hint="eastAsia"/>
          <w:sz w:val="32"/>
          <w:szCs w:val="32"/>
        </w:rPr>
      </w:pPr>
      <w:r>
        <w:rPr>
          <w:rFonts w:ascii="仿宋" w:eastAsia="仿宋" w:hAnsi="仿宋" w:cs="仿宋"/>
          <w:sz w:val="32"/>
          <w:szCs w:val="32"/>
        </w:rPr>
        <w:t>负责福建省养老服务综合信息平台资源申请与扩容</w:t>
      </w:r>
      <w:r>
        <w:rPr>
          <w:rFonts w:ascii="仿宋" w:eastAsia="仿宋" w:hAnsi="仿宋" w:cs="仿宋" w:hint="eastAsia"/>
          <w:sz w:val="32"/>
          <w:szCs w:val="32"/>
        </w:rPr>
        <w:t>相关事宜</w:t>
      </w:r>
      <w:r>
        <w:rPr>
          <w:rFonts w:ascii="仿宋" w:eastAsia="仿宋" w:hAnsi="仿宋" w:cs="仿宋"/>
          <w:sz w:val="32"/>
          <w:szCs w:val="32"/>
        </w:rPr>
        <w:t>。</w:t>
      </w:r>
    </w:p>
    <w:p w14:paraId="6685004A" w14:textId="77777777" w:rsidR="00750991" w:rsidRDefault="00750991" w:rsidP="00750991">
      <w:pPr>
        <w:numPr>
          <w:ilvl w:val="0"/>
          <w:numId w:val="2"/>
        </w:numPr>
        <w:spacing w:line="360" w:lineRule="auto"/>
        <w:ind w:left="0" w:firstLineChars="200" w:firstLine="640"/>
        <w:rPr>
          <w:rFonts w:ascii="仿宋" w:eastAsia="仿宋" w:hAnsi="仿宋" w:cs="仿宋" w:hint="eastAsia"/>
          <w:sz w:val="32"/>
          <w:szCs w:val="32"/>
        </w:rPr>
      </w:pPr>
      <w:r>
        <w:rPr>
          <w:rFonts w:ascii="仿宋" w:eastAsia="仿宋" w:hAnsi="仿宋" w:cs="仿宋"/>
          <w:sz w:val="32"/>
          <w:szCs w:val="32"/>
        </w:rPr>
        <w:t>负责福建省养老服务综合信息平台迁移备份</w:t>
      </w:r>
      <w:r>
        <w:rPr>
          <w:rFonts w:ascii="仿宋" w:eastAsia="仿宋" w:hAnsi="仿宋" w:cs="仿宋" w:hint="eastAsia"/>
          <w:sz w:val="32"/>
          <w:szCs w:val="32"/>
        </w:rPr>
        <w:t>相关</w:t>
      </w:r>
      <w:r>
        <w:rPr>
          <w:rFonts w:ascii="仿宋" w:eastAsia="仿宋" w:hAnsi="仿宋" w:cs="仿宋"/>
          <w:sz w:val="32"/>
          <w:szCs w:val="32"/>
        </w:rPr>
        <w:t>工作。</w:t>
      </w:r>
    </w:p>
    <w:p w14:paraId="176915E4" w14:textId="77777777" w:rsidR="00750991" w:rsidRDefault="00750991" w:rsidP="00750991">
      <w:pPr>
        <w:numPr>
          <w:ilvl w:val="0"/>
          <w:numId w:val="2"/>
        </w:numPr>
        <w:spacing w:line="360" w:lineRule="auto"/>
        <w:ind w:left="0" w:firstLineChars="200" w:firstLine="640"/>
        <w:rPr>
          <w:sz w:val="32"/>
          <w:szCs w:val="32"/>
        </w:rPr>
      </w:pPr>
      <w:r>
        <w:rPr>
          <w:rFonts w:ascii="仿宋" w:eastAsia="仿宋" w:hAnsi="仿宋" w:cs="仿宋"/>
          <w:sz w:val="32"/>
          <w:szCs w:val="32"/>
        </w:rPr>
        <w:lastRenderedPageBreak/>
        <w:t>配合各级政府组织的系统安全检查与演练。</w:t>
      </w:r>
    </w:p>
    <w:p w14:paraId="35797ABC" w14:textId="77777777" w:rsidR="00750991" w:rsidRDefault="00750991" w:rsidP="00750991">
      <w:pPr>
        <w:numPr>
          <w:ilvl w:val="0"/>
          <w:numId w:val="2"/>
        </w:numPr>
        <w:spacing w:line="360" w:lineRule="auto"/>
        <w:ind w:left="0" w:firstLineChars="200" w:firstLine="640"/>
        <w:rPr>
          <w:rFonts w:ascii="仿宋" w:eastAsia="仿宋" w:hAnsi="仿宋" w:cs="仿宋" w:hint="eastAsia"/>
          <w:sz w:val="32"/>
          <w:szCs w:val="32"/>
        </w:rPr>
      </w:pPr>
      <w:r>
        <w:rPr>
          <w:rFonts w:ascii="仿宋" w:eastAsia="仿宋" w:hAnsi="仿宋" w:cs="仿宋" w:hint="eastAsia"/>
          <w:sz w:val="32"/>
          <w:szCs w:val="32"/>
        </w:rPr>
        <w:t>负责</w:t>
      </w:r>
      <w:r>
        <w:rPr>
          <w:rFonts w:ascii="仿宋" w:eastAsia="仿宋" w:hAnsi="仿宋" w:cs="仿宋"/>
          <w:sz w:val="32"/>
          <w:szCs w:val="32"/>
        </w:rPr>
        <w:t>福建省养老服务综合信息平台</w:t>
      </w:r>
      <w:r>
        <w:rPr>
          <w:rFonts w:ascii="仿宋" w:eastAsia="仿宋" w:hAnsi="仿宋" w:cs="仿宋" w:hint="eastAsia"/>
          <w:sz w:val="32"/>
          <w:szCs w:val="32"/>
        </w:rPr>
        <w:t>运维，提供系统管理工具须具备操作日志查看功能，包含日志类型、日志IP、用户名称、日志链接、方法、创建时间信息。</w:t>
      </w:r>
    </w:p>
    <w:p w14:paraId="10664CE6" w14:textId="77777777" w:rsidR="00750991" w:rsidRDefault="00750991" w:rsidP="00750991">
      <w:pPr>
        <w:numPr>
          <w:ilvl w:val="0"/>
          <w:numId w:val="2"/>
        </w:numPr>
        <w:spacing w:line="360" w:lineRule="auto"/>
        <w:ind w:left="0" w:firstLineChars="200" w:firstLine="640"/>
        <w:rPr>
          <w:rFonts w:ascii="仿宋" w:eastAsia="仿宋" w:hAnsi="仿宋" w:cs="仿宋" w:hint="eastAsia"/>
          <w:sz w:val="32"/>
          <w:szCs w:val="32"/>
        </w:rPr>
      </w:pPr>
      <w:r>
        <w:rPr>
          <w:rFonts w:ascii="仿宋" w:eastAsia="仿宋" w:hAnsi="仿宋" w:cs="仿宋" w:hint="eastAsia"/>
          <w:sz w:val="32"/>
          <w:szCs w:val="32"/>
        </w:rPr>
        <w:t>操作日志查看工具支持的日志类型包括系统切面和接口及提报。</w:t>
      </w:r>
    </w:p>
    <w:p w14:paraId="3FA0DBC9" w14:textId="77777777" w:rsidR="00750991" w:rsidRDefault="00750991" w:rsidP="00750991">
      <w:pPr>
        <w:numPr>
          <w:ilvl w:val="0"/>
          <w:numId w:val="2"/>
        </w:numPr>
        <w:spacing w:line="360" w:lineRule="auto"/>
        <w:ind w:left="0" w:firstLineChars="200" w:firstLine="640"/>
        <w:rPr>
          <w:rFonts w:ascii="仿宋" w:eastAsia="仿宋" w:hAnsi="仿宋" w:cs="仿宋" w:hint="eastAsia"/>
          <w:sz w:val="32"/>
          <w:szCs w:val="32"/>
        </w:rPr>
      </w:pPr>
      <w:r>
        <w:rPr>
          <w:rFonts w:ascii="仿宋" w:eastAsia="仿宋" w:hAnsi="仿宋" w:cs="仿宋" w:hint="eastAsia"/>
          <w:sz w:val="32"/>
          <w:szCs w:val="32"/>
        </w:rPr>
        <w:t>负责</w:t>
      </w:r>
      <w:r>
        <w:rPr>
          <w:rFonts w:ascii="仿宋" w:eastAsia="仿宋" w:hAnsi="仿宋" w:cs="仿宋"/>
          <w:sz w:val="32"/>
          <w:szCs w:val="32"/>
        </w:rPr>
        <w:t>福建省养老服务综合信息平台</w:t>
      </w:r>
      <w:r>
        <w:rPr>
          <w:rFonts w:ascii="仿宋" w:eastAsia="仿宋" w:hAnsi="仿宋" w:cs="仿宋" w:hint="eastAsia"/>
          <w:sz w:val="32"/>
          <w:szCs w:val="32"/>
        </w:rPr>
        <w:t>运维，提供系统管理工具须具备作业管理功能，包含任务组、任务触发类、表达式、时区、任务状态、操作等信息，支持对任务组的编辑、删除、启动、暂停功能。</w:t>
      </w:r>
    </w:p>
    <w:p w14:paraId="191C8BC2" w14:textId="77777777" w:rsidR="00750991" w:rsidRDefault="00750991" w:rsidP="00750991">
      <w:pPr>
        <w:numPr>
          <w:ilvl w:val="0"/>
          <w:numId w:val="2"/>
        </w:numPr>
        <w:spacing w:line="360" w:lineRule="auto"/>
        <w:ind w:left="0" w:firstLineChars="200" w:firstLine="640"/>
        <w:rPr>
          <w:rFonts w:ascii="仿宋" w:eastAsia="仿宋" w:hAnsi="仿宋" w:cs="仿宋" w:hint="eastAsia"/>
          <w:sz w:val="32"/>
          <w:szCs w:val="32"/>
        </w:rPr>
      </w:pPr>
      <w:r>
        <w:rPr>
          <w:rFonts w:ascii="仿宋" w:eastAsia="仿宋" w:hAnsi="仿宋" w:cs="仿宋"/>
          <w:sz w:val="32"/>
          <w:szCs w:val="32"/>
        </w:rPr>
        <w:t>提供</w:t>
      </w:r>
      <w:r>
        <w:rPr>
          <w:rFonts w:ascii="仿宋" w:eastAsia="仿宋" w:hAnsi="仿宋" w:cs="仿宋" w:hint="eastAsia"/>
          <w:sz w:val="32"/>
          <w:szCs w:val="32"/>
        </w:rPr>
        <w:t>2</w:t>
      </w:r>
      <w:r>
        <w:rPr>
          <w:rFonts w:ascii="仿宋" w:eastAsia="仿宋" w:hAnsi="仿宋" w:cs="仿宋"/>
          <w:sz w:val="32"/>
          <w:szCs w:val="32"/>
        </w:rPr>
        <w:t>名技术人负责本项目的运维，</w:t>
      </w:r>
      <w:r>
        <w:rPr>
          <w:rFonts w:ascii="仿宋" w:eastAsia="仿宋" w:hAnsi="仿宋" w:cs="仿宋" w:hint="eastAsia"/>
          <w:sz w:val="32"/>
          <w:szCs w:val="32"/>
        </w:rPr>
        <w:t>技术人员须具备相关系统漏洞修复经验、相关数据报送经验。</w:t>
      </w:r>
      <w:r>
        <w:rPr>
          <w:rFonts w:ascii="仿宋" w:eastAsia="仿宋" w:hAnsi="仿宋" w:cs="仿宋"/>
          <w:sz w:val="32"/>
          <w:szCs w:val="32"/>
        </w:rPr>
        <w:t>接到用户故障报告后，应在10分钟内到达用户现场。</w:t>
      </w:r>
    </w:p>
    <w:p w14:paraId="772A4DDE" w14:textId="77777777" w:rsidR="00750991" w:rsidRDefault="00750991" w:rsidP="00750991">
      <w:pPr>
        <w:numPr>
          <w:ilvl w:val="0"/>
          <w:numId w:val="2"/>
        </w:numPr>
        <w:spacing w:line="360" w:lineRule="auto"/>
        <w:ind w:left="0" w:firstLineChars="200" w:firstLine="640"/>
        <w:rPr>
          <w:rFonts w:ascii="仿宋" w:eastAsia="仿宋" w:hAnsi="仿宋" w:cs="仿宋" w:hint="eastAsia"/>
          <w:sz w:val="32"/>
          <w:szCs w:val="32"/>
        </w:rPr>
      </w:pPr>
      <w:r>
        <w:rPr>
          <w:rFonts w:ascii="仿宋" w:eastAsia="仿宋" w:hAnsi="仿宋" w:cs="仿宋"/>
          <w:sz w:val="32"/>
          <w:szCs w:val="32"/>
        </w:rPr>
        <w:t>日常使用指导：对服务范围内的福建省养老服务综合信息平台功能模块使用问题，进行现场指导。</w:t>
      </w:r>
    </w:p>
    <w:p w14:paraId="2CFA26ED" w14:textId="77777777" w:rsidR="00750991" w:rsidRDefault="00750991" w:rsidP="00750991">
      <w:pPr>
        <w:numPr>
          <w:ilvl w:val="0"/>
          <w:numId w:val="2"/>
        </w:numPr>
        <w:spacing w:line="360" w:lineRule="auto"/>
        <w:ind w:left="0" w:firstLineChars="200" w:firstLine="640"/>
        <w:rPr>
          <w:rFonts w:ascii="仿宋" w:eastAsia="仿宋" w:hAnsi="仿宋" w:cs="仿宋" w:hint="eastAsia"/>
          <w:sz w:val="32"/>
          <w:szCs w:val="32"/>
        </w:rPr>
      </w:pPr>
      <w:r>
        <w:rPr>
          <w:rFonts w:ascii="仿宋" w:eastAsia="仿宋" w:hAnsi="仿宋" w:cs="仿宋"/>
          <w:sz w:val="32"/>
          <w:szCs w:val="32"/>
        </w:rPr>
        <w:t>负责对福建省养老服务综合信息平台性能开展评估，并记录与跟踪评估结果。</w:t>
      </w:r>
    </w:p>
    <w:p w14:paraId="13B40D85" w14:textId="77777777" w:rsidR="00750991" w:rsidRDefault="00750991" w:rsidP="00750991">
      <w:pPr>
        <w:numPr>
          <w:ilvl w:val="0"/>
          <w:numId w:val="2"/>
        </w:numPr>
        <w:spacing w:line="360" w:lineRule="auto"/>
        <w:ind w:left="0" w:firstLineChars="200" w:firstLine="640"/>
        <w:rPr>
          <w:rFonts w:ascii="仿宋" w:eastAsia="仿宋" w:hAnsi="仿宋" w:cs="仿宋" w:hint="eastAsia"/>
          <w:sz w:val="32"/>
          <w:szCs w:val="32"/>
        </w:rPr>
      </w:pPr>
      <w:r>
        <w:rPr>
          <w:rFonts w:ascii="仿宋" w:eastAsia="仿宋" w:hAnsi="仿宋" w:cs="仿宋"/>
          <w:sz w:val="32"/>
          <w:szCs w:val="32"/>
        </w:rPr>
        <w:t>福建省养老服务综合信息平台运行过程中，若性能出现瓶颈，须对问题进行解决并留档。</w:t>
      </w:r>
    </w:p>
    <w:p w14:paraId="7D775C5D" w14:textId="77777777" w:rsidR="00750991" w:rsidRDefault="00750991" w:rsidP="00750991">
      <w:pPr>
        <w:numPr>
          <w:ilvl w:val="0"/>
          <w:numId w:val="2"/>
        </w:numPr>
        <w:spacing w:line="360" w:lineRule="auto"/>
        <w:ind w:left="0" w:firstLineChars="200" w:firstLine="640"/>
        <w:rPr>
          <w:rFonts w:ascii="仿宋" w:eastAsia="仿宋" w:hAnsi="仿宋" w:cs="仿宋" w:hint="eastAsia"/>
          <w:sz w:val="32"/>
          <w:szCs w:val="32"/>
        </w:rPr>
      </w:pPr>
      <w:r>
        <w:rPr>
          <w:rFonts w:ascii="仿宋" w:eastAsia="仿宋" w:hAnsi="仿宋" w:cs="仿宋"/>
          <w:sz w:val="32"/>
          <w:szCs w:val="32"/>
        </w:rPr>
        <w:t>重要活动期间可根据采购人相关领导的统一要求和部署，组织专业技术人员对采购</w:t>
      </w:r>
      <w:proofErr w:type="gramStart"/>
      <w:r>
        <w:rPr>
          <w:rFonts w:ascii="仿宋" w:eastAsia="仿宋" w:hAnsi="仿宋" w:cs="仿宋"/>
          <w:sz w:val="32"/>
          <w:szCs w:val="32"/>
        </w:rPr>
        <w:t>人网络</w:t>
      </w:r>
      <w:proofErr w:type="gramEnd"/>
      <w:r>
        <w:rPr>
          <w:rFonts w:ascii="仿宋" w:eastAsia="仿宋" w:hAnsi="仿宋" w:cs="仿宋"/>
          <w:sz w:val="32"/>
          <w:szCs w:val="32"/>
        </w:rPr>
        <w:t>和信息数据采取加强性保护措施。在国家重要活动、会议期间，加强公安网络安全事件的防</w:t>
      </w:r>
      <w:r>
        <w:rPr>
          <w:rFonts w:ascii="仿宋" w:eastAsia="仿宋" w:hAnsi="仿宋" w:cs="仿宋"/>
          <w:sz w:val="32"/>
          <w:szCs w:val="32"/>
        </w:rPr>
        <w:lastRenderedPageBreak/>
        <w:t>范和应急响应，确保采购</w:t>
      </w:r>
      <w:proofErr w:type="gramStart"/>
      <w:r>
        <w:rPr>
          <w:rFonts w:ascii="仿宋" w:eastAsia="仿宋" w:hAnsi="仿宋" w:cs="仿宋"/>
          <w:sz w:val="32"/>
          <w:szCs w:val="32"/>
        </w:rPr>
        <w:t>人网络</w:t>
      </w:r>
      <w:proofErr w:type="gramEnd"/>
      <w:r>
        <w:rPr>
          <w:rFonts w:ascii="仿宋" w:eastAsia="仿宋" w:hAnsi="仿宋" w:cs="仿宋"/>
          <w:sz w:val="32"/>
          <w:szCs w:val="32"/>
        </w:rPr>
        <w:t>安全。</w:t>
      </w:r>
    </w:p>
    <w:p w14:paraId="671F4CB3" w14:textId="77777777" w:rsidR="00750991" w:rsidRDefault="00750991" w:rsidP="00750991">
      <w:pPr>
        <w:numPr>
          <w:ilvl w:val="0"/>
          <w:numId w:val="2"/>
        </w:numPr>
        <w:spacing w:line="360" w:lineRule="auto"/>
        <w:ind w:left="0" w:firstLineChars="200" w:firstLine="640"/>
        <w:rPr>
          <w:rFonts w:ascii="仿宋" w:eastAsia="仿宋" w:hAnsi="仿宋" w:cs="仿宋" w:hint="eastAsia"/>
          <w:sz w:val="32"/>
          <w:szCs w:val="32"/>
        </w:rPr>
      </w:pPr>
      <w:r>
        <w:rPr>
          <w:rFonts w:ascii="仿宋" w:eastAsia="仿宋" w:hAnsi="仿宋" w:cs="仿宋"/>
          <w:sz w:val="32"/>
          <w:szCs w:val="32"/>
        </w:rPr>
        <w:t>统筹协调网络安全保障工作，加强网络安全监测和分析</w:t>
      </w:r>
      <w:proofErr w:type="gramStart"/>
      <w:r>
        <w:rPr>
          <w:rFonts w:ascii="仿宋" w:eastAsia="仿宋" w:hAnsi="仿宋" w:cs="仿宋"/>
          <w:sz w:val="32"/>
          <w:szCs w:val="32"/>
        </w:rPr>
        <w:t>研</w:t>
      </w:r>
      <w:proofErr w:type="gramEnd"/>
      <w:r>
        <w:rPr>
          <w:rFonts w:ascii="仿宋" w:eastAsia="仿宋" w:hAnsi="仿宋" w:cs="仿宋"/>
          <w:sz w:val="32"/>
          <w:szCs w:val="32"/>
        </w:rPr>
        <w:t>判，提前做好网络安全自查工作，及时预警可能造成重大影响的风险和隐患，及时发现和处置网络安全事件隐患。</w:t>
      </w:r>
    </w:p>
    <w:p w14:paraId="36CE650A" w14:textId="77777777" w:rsidR="00750991" w:rsidRDefault="00750991" w:rsidP="00750991">
      <w:pPr>
        <w:pStyle w:val="2"/>
        <w:numPr>
          <w:ilvl w:val="0"/>
          <w:numId w:val="1"/>
        </w:numPr>
        <w:tabs>
          <w:tab w:val="num" w:pos="360"/>
        </w:tabs>
        <w:spacing w:line="360" w:lineRule="auto"/>
        <w:rPr>
          <w:rFonts w:ascii="仿宋_GB2312" w:eastAsia="仿宋_GB2312" w:hAnsi="仿宋_GB2312" w:cs="仿宋_GB2312" w:hint="eastAsia"/>
        </w:rPr>
      </w:pPr>
      <w:r>
        <w:rPr>
          <w:rFonts w:ascii="仿宋_GB2312" w:eastAsia="仿宋_GB2312" w:hAnsi="仿宋_GB2312" w:cs="仿宋_GB2312" w:hint="eastAsia"/>
        </w:rPr>
        <w:t>商务条件</w:t>
      </w:r>
    </w:p>
    <w:p w14:paraId="27070DB2" w14:textId="77777777" w:rsidR="00750991" w:rsidRDefault="00750991" w:rsidP="00750991">
      <w:pPr>
        <w:autoSpaceDE w:val="0"/>
        <w:autoSpaceDN w:val="0"/>
        <w:spacing w:line="360" w:lineRule="auto"/>
        <w:ind w:firstLineChars="200" w:firstLine="640"/>
        <w:jc w:val="left"/>
        <w:textAlignment w:val="bottom"/>
        <w:rPr>
          <w:rFonts w:ascii="仿宋" w:eastAsia="仿宋" w:hAnsi="仿宋" w:cs="仿宋" w:hint="eastAsia"/>
          <w:sz w:val="32"/>
          <w:szCs w:val="32"/>
        </w:rPr>
      </w:pPr>
      <w:r>
        <w:rPr>
          <w:rFonts w:ascii="仿宋" w:eastAsia="仿宋" w:hAnsi="仿宋" w:cs="仿宋"/>
          <w:sz w:val="32"/>
          <w:szCs w:val="32"/>
        </w:rPr>
        <w:t>1.付款方式：</w:t>
      </w:r>
    </w:p>
    <w:tbl>
      <w:tblPr>
        <w:tblW w:w="858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1514"/>
        <w:gridCol w:w="1824"/>
        <w:gridCol w:w="5242"/>
      </w:tblGrid>
      <w:tr w:rsidR="00750991" w14:paraId="52EEB759" w14:textId="77777777" w:rsidTr="00A34EA2">
        <w:tc>
          <w:tcPr>
            <w:tcW w:w="1514" w:type="dxa"/>
            <w:tcBorders>
              <w:top w:val="outset" w:sz="6" w:space="0" w:color="auto"/>
              <w:left w:val="outset" w:sz="6" w:space="0" w:color="auto"/>
              <w:bottom w:val="outset" w:sz="6" w:space="0" w:color="auto"/>
              <w:right w:val="outset" w:sz="6" w:space="0" w:color="auto"/>
            </w:tcBorders>
            <w:vAlign w:val="center"/>
          </w:tcPr>
          <w:p w14:paraId="54A53011" w14:textId="77777777" w:rsidR="00750991" w:rsidRDefault="00750991" w:rsidP="00A34EA2">
            <w:pPr>
              <w:widowControl/>
              <w:spacing w:line="360" w:lineRule="auto"/>
              <w:jc w:val="center"/>
              <w:rPr>
                <w:rFonts w:ascii="仿宋" w:eastAsia="仿宋" w:hAnsi="仿宋" w:cs="仿宋" w:hint="eastAsia"/>
                <w:sz w:val="32"/>
                <w:szCs w:val="32"/>
              </w:rPr>
            </w:pPr>
            <w:r>
              <w:rPr>
                <w:rFonts w:ascii="仿宋" w:eastAsia="仿宋" w:hAnsi="仿宋" w:cs="仿宋"/>
                <w:sz w:val="32"/>
                <w:szCs w:val="32"/>
                <w:lang w:bidi="ar"/>
              </w:rPr>
              <w:t>支付期次</w:t>
            </w:r>
          </w:p>
        </w:tc>
        <w:tc>
          <w:tcPr>
            <w:tcW w:w="1824" w:type="dxa"/>
            <w:tcBorders>
              <w:top w:val="outset" w:sz="6" w:space="0" w:color="auto"/>
              <w:left w:val="outset" w:sz="6" w:space="0" w:color="auto"/>
              <w:bottom w:val="outset" w:sz="6" w:space="0" w:color="auto"/>
              <w:right w:val="outset" w:sz="6" w:space="0" w:color="auto"/>
            </w:tcBorders>
            <w:vAlign w:val="center"/>
          </w:tcPr>
          <w:p w14:paraId="6031E42D" w14:textId="77777777" w:rsidR="00750991" w:rsidRDefault="00750991" w:rsidP="00A34EA2">
            <w:pPr>
              <w:widowControl/>
              <w:spacing w:line="360" w:lineRule="auto"/>
              <w:jc w:val="center"/>
              <w:rPr>
                <w:rFonts w:ascii="仿宋" w:eastAsia="仿宋" w:hAnsi="仿宋" w:cs="仿宋" w:hint="eastAsia"/>
                <w:sz w:val="32"/>
                <w:szCs w:val="32"/>
              </w:rPr>
            </w:pPr>
            <w:r>
              <w:rPr>
                <w:rFonts w:ascii="仿宋" w:eastAsia="仿宋" w:hAnsi="仿宋" w:cs="仿宋"/>
                <w:sz w:val="32"/>
                <w:szCs w:val="32"/>
                <w:lang w:bidi="ar"/>
              </w:rPr>
              <w:t>支付比例</w:t>
            </w:r>
            <w:r>
              <w:rPr>
                <w:rFonts w:ascii="仿宋" w:eastAsia="仿宋" w:hAnsi="仿宋" w:cs="仿宋" w:hint="eastAsia"/>
                <w:sz w:val="32"/>
                <w:szCs w:val="32"/>
                <w:lang w:bidi="ar"/>
              </w:rPr>
              <w:t>（</w:t>
            </w:r>
            <w:r>
              <w:rPr>
                <w:rFonts w:ascii="仿宋" w:eastAsia="仿宋" w:hAnsi="仿宋" w:cs="仿宋"/>
                <w:sz w:val="32"/>
                <w:szCs w:val="32"/>
                <w:lang w:bidi="ar"/>
              </w:rPr>
              <w:t>%)</w:t>
            </w:r>
          </w:p>
        </w:tc>
        <w:tc>
          <w:tcPr>
            <w:tcW w:w="5242" w:type="dxa"/>
            <w:tcBorders>
              <w:top w:val="outset" w:sz="6" w:space="0" w:color="auto"/>
              <w:left w:val="outset" w:sz="6" w:space="0" w:color="auto"/>
              <w:bottom w:val="outset" w:sz="6" w:space="0" w:color="auto"/>
              <w:right w:val="outset" w:sz="6" w:space="0" w:color="auto"/>
            </w:tcBorders>
            <w:vAlign w:val="center"/>
          </w:tcPr>
          <w:p w14:paraId="750B70AE" w14:textId="77777777" w:rsidR="00750991" w:rsidRDefault="00750991" w:rsidP="00A34EA2">
            <w:pPr>
              <w:widowControl/>
              <w:spacing w:line="360" w:lineRule="auto"/>
              <w:jc w:val="center"/>
              <w:rPr>
                <w:rFonts w:ascii="仿宋" w:eastAsia="仿宋" w:hAnsi="仿宋" w:cs="仿宋" w:hint="eastAsia"/>
                <w:sz w:val="32"/>
                <w:szCs w:val="32"/>
              </w:rPr>
            </w:pPr>
            <w:r>
              <w:rPr>
                <w:rFonts w:ascii="仿宋" w:eastAsia="仿宋" w:hAnsi="仿宋" w:cs="仿宋"/>
                <w:sz w:val="32"/>
                <w:szCs w:val="32"/>
                <w:lang w:bidi="ar"/>
              </w:rPr>
              <w:t>支付期次说明</w:t>
            </w:r>
          </w:p>
        </w:tc>
      </w:tr>
      <w:tr w:rsidR="00750991" w14:paraId="5392AC3C" w14:textId="77777777" w:rsidTr="00A34EA2">
        <w:trPr>
          <w:trHeight w:val="545"/>
        </w:trPr>
        <w:tc>
          <w:tcPr>
            <w:tcW w:w="1514" w:type="dxa"/>
            <w:tcBorders>
              <w:top w:val="outset" w:sz="6" w:space="0" w:color="auto"/>
              <w:left w:val="outset" w:sz="6" w:space="0" w:color="auto"/>
              <w:bottom w:val="outset" w:sz="6" w:space="0" w:color="auto"/>
              <w:right w:val="outset" w:sz="6" w:space="0" w:color="auto"/>
            </w:tcBorders>
            <w:vAlign w:val="center"/>
          </w:tcPr>
          <w:p w14:paraId="2AFCC027" w14:textId="77777777" w:rsidR="00750991" w:rsidRDefault="00750991" w:rsidP="00A34EA2">
            <w:pPr>
              <w:widowControl/>
              <w:spacing w:line="360" w:lineRule="auto"/>
              <w:jc w:val="center"/>
              <w:rPr>
                <w:rFonts w:ascii="仿宋" w:eastAsia="仿宋" w:hAnsi="仿宋" w:cs="仿宋" w:hint="eastAsia"/>
                <w:sz w:val="32"/>
                <w:szCs w:val="32"/>
              </w:rPr>
            </w:pPr>
            <w:r>
              <w:rPr>
                <w:rFonts w:ascii="仿宋" w:eastAsia="仿宋" w:hAnsi="仿宋" w:cs="仿宋"/>
                <w:sz w:val="32"/>
                <w:szCs w:val="32"/>
                <w:lang w:bidi="ar"/>
              </w:rPr>
              <w:t>1</w:t>
            </w:r>
          </w:p>
        </w:tc>
        <w:tc>
          <w:tcPr>
            <w:tcW w:w="1824" w:type="dxa"/>
            <w:tcBorders>
              <w:top w:val="outset" w:sz="6" w:space="0" w:color="auto"/>
              <w:left w:val="outset" w:sz="6" w:space="0" w:color="auto"/>
              <w:bottom w:val="outset" w:sz="6" w:space="0" w:color="auto"/>
              <w:right w:val="outset" w:sz="6" w:space="0" w:color="auto"/>
            </w:tcBorders>
            <w:vAlign w:val="center"/>
          </w:tcPr>
          <w:p w14:paraId="3D646472" w14:textId="77777777" w:rsidR="00750991" w:rsidRDefault="00750991" w:rsidP="00A34EA2">
            <w:pPr>
              <w:widowControl/>
              <w:spacing w:line="360" w:lineRule="auto"/>
              <w:jc w:val="center"/>
              <w:rPr>
                <w:rFonts w:ascii="仿宋" w:eastAsia="仿宋" w:hAnsi="仿宋" w:cs="仿宋" w:hint="eastAsia"/>
                <w:sz w:val="32"/>
                <w:szCs w:val="32"/>
              </w:rPr>
            </w:pPr>
            <w:r>
              <w:rPr>
                <w:rFonts w:ascii="仿宋" w:eastAsia="仿宋" w:hAnsi="仿宋" w:cs="仿宋" w:hint="eastAsia"/>
                <w:sz w:val="32"/>
                <w:szCs w:val="32"/>
              </w:rPr>
              <w:t>50</w:t>
            </w:r>
          </w:p>
        </w:tc>
        <w:tc>
          <w:tcPr>
            <w:tcW w:w="5242" w:type="dxa"/>
            <w:tcBorders>
              <w:top w:val="outset" w:sz="6" w:space="0" w:color="auto"/>
              <w:left w:val="outset" w:sz="6" w:space="0" w:color="auto"/>
              <w:bottom w:val="outset" w:sz="6" w:space="0" w:color="auto"/>
              <w:right w:val="outset" w:sz="6" w:space="0" w:color="auto"/>
            </w:tcBorders>
            <w:vAlign w:val="center"/>
          </w:tcPr>
          <w:p w14:paraId="4F6E3FCE" w14:textId="77777777" w:rsidR="00750991" w:rsidRDefault="00750991" w:rsidP="00A34EA2">
            <w:pPr>
              <w:autoSpaceDE w:val="0"/>
              <w:autoSpaceDN w:val="0"/>
              <w:spacing w:line="360" w:lineRule="auto"/>
              <w:jc w:val="left"/>
              <w:textAlignment w:val="bottom"/>
              <w:rPr>
                <w:rFonts w:ascii="仿宋" w:eastAsia="仿宋" w:hAnsi="仿宋" w:cs="仿宋" w:hint="eastAsia"/>
                <w:sz w:val="32"/>
                <w:szCs w:val="32"/>
              </w:rPr>
            </w:pPr>
            <w:r>
              <w:rPr>
                <w:rFonts w:ascii="仿宋" w:eastAsia="仿宋" w:hAnsi="仿宋" w:cs="仿宋" w:hint="eastAsia"/>
                <w:sz w:val="32"/>
                <w:szCs w:val="32"/>
              </w:rPr>
              <w:t>合同签订后，支付合同金额的50%。</w:t>
            </w:r>
          </w:p>
        </w:tc>
      </w:tr>
      <w:tr w:rsidR="00750991" w14:paraId="14A1EE7D" w14:textId="77777777" w:rsidTr="00A34EA2">
        <w:tc>
          <w:tcPr>
            <w:tcW w:w="1514" w:type="dxa"/>
            <w:tcBorders>
              <w:top w:val="outset" w:sz="6" w:space="0" w:color="auto"/>
              <w:left w:val="outset" w:sz="6" w:space="0" w:color="auto"/>
              <w:bottom w:val="outset" w:sz="6" w:space="0" w:color="auto"/>
              <w:right w:val="outset" w:sz="6" w:space="0" w:color="auto"/>
            </w:tcBorders>
            <w:vAlign w:val="center"/>
          </w:tcPr>
          <w:p w14:paraId="3CE650F0" w14:textId="77777777" w:rsidR="00750991" w:rsidRDefault="00750991" w:rsidP="00A34EA2">
            <w:pPr>
              <w:widowControl/>
              <w:spacing w:line="360" w:lineRule="auto"/>
              <w:jc w:val="center"/>
              <w:rPr>
                <w:rFonts w:ascii="仿宋" w:eastAsia="仿宋" w:hAnsi="仿宋" w:cs="仿宋" w:hint="eastAsia"/>
                <w:sz w:val="32"/>
                <w:szCs w:val="32"/>
              </w:rPr>
            </w:pPr>
            <w:r>
              <w:rPr>
                <w:rFonts w:ascii="仿宋" w:eastAsia="仿宋" w:hAnsi="仿宋" w:cs="仿宋"/>
                <w:sz w:val="32"/>
                <w:szCs w:val="32"/>
                <w:lang w:bidi="ar"/>
              </w:rPr>
              <w:t>2</w:t>
            </w:r>
          </w:p>
        </w:tc>
        <w:tc>
          <w:tcPr>
            <w:tcW w:w="1824" w:type="dxa"/>
            <w:tcBorders>
              <w:top w:val="outset" w:sz="6" w:space="0" w:color="auto"/>
              <w:left w:val="outset" w:sz="6" w:space="0" w:color="auto"/>
              <w:bottom w:val="outset" w:sz="6" w:space="0" w:color="auto"/>
              <w:right w:val="outset" w:sz="6" w:space="0" w:color="auto"/>
            </w:tcBorders>
            <w:vAlign w:val="center"/>
          </w:tcPr>
          <w:p w14:paraId="6ABBEA8A" w14:textId="77777777" w:rsidR="00750991" w:rsidRDefault="00750991" w:rsidP="00A34EA2">
            <w:pPr>
              <w:widowControl/>
              <w:spacing w:line="360" w:lineRule="auto"/>
              <w:jc w:val="center"/>
              <w:rPr>
                <w:rFonts w:ascii="仿宋" w:eastAsia="仿宋" w:hAnsi="仿宋" w:cs="仿宋" w:hint="eastAsia"/>
                <w:sz w:val="32"/>
                <w:szCs w:val="32"/>
              </w:rPr>
            </w:pPr>
            <w:r>
              <w:rPr>
                <w:rFonts w:ascii="仿宋" w:eastAsia="仿宋" w:hAnsi="仿宋" w:cs="仿宋" w:hint="eastAsia"/>
                <w:sz w:val="32"/>
                <w:szCs w:val="32"/>
              </w:rPr>
              <w:t>50</w:t>
            </w:r>
          </w:p>
        </w:tc>
        <w:tc>
          <w:tcPr>
            <w:tcW w:w="5242" w:type="dxa"/>
            <w:tcBorders>
              <w:top w:val="outset" w:sz="6" w:space="0" w:color="auto"/>
              <w:left w:val="outset" w:sz="6" w:space="0" w:color="auto"/>
              <w:bottom w:val="outset" w:sz="6" w:space="0" w:color="auto"/>
              <w:right w:val="outset" w:sz="6" w:space="0" w:color="auto"/>
            </w:tcBorders>
            <w:vAlign w:val="center"/>
          </w:tcPr>
          <w:p w14:paraId="4621AACA" w14:textId="77777777" w:rsidR="00750991" w:rsidRDefault="00750991" w:rsidP="00A34EA2">
            <w:pPr>
              <w:autoSpaceDE w:val="0"/>
              <w:autoSpaceDN w:val="0"/>
              <w:spacing w:line="360" w:lineRule="auto"/>
              <w:jc w:val="left"/>
              <w:textAlignment w:val="bottom"/>
              <w:rPr>
                <w:rFonts w:ascii="仿宋" w:eastAsia="仿宋" w:hAnsi="仿宋" w:cs="仿宋" w:hint="eastAsia"/>
                <w:sz w:val="32"/>
                <w:szCs w:val="32"/>
              </w:rPr>
            </w:pPr>
            <w:r>
              <w:rPr>
                <w:rFonts w:ascii="仿宋" w:eastAsia="仿宋" w:hAnsi="仿宋" w:cs="仿宋" w:hint="eastAsia"/>
                <w:sz w:val="32"/>
                <w:szCs w:val="32"/>
              </w:rPr>
              <w:t>服务期满一年验收通过后支付合同金额的50%</w:t>
            </w:r>
            <w:r>
              <w:rPr>
                <w:rFonts w:ascii="仿宋" w:eastAsia="仿宋" w:hAnsi="仿宋" w:cs="仿宋"/>
                <w:sz w:val="32"/>
                <w:szCs w:val="32"/>
              </w:rPr>
              <w:t>。</w:t>
            </w:r>
          </w:p>
        </w:tc>
      </w:tr>
    </w:tbl>
    <w:p w14:paraId="2346E27E" w14:textId="77777777" w:rsidR="00750991" w:rsidRDefault="00750991" w:rsidP="00750991">
      <w:pPr>
        <w:autoSpaceDE w:val="0"/>
        <w:autoSpaceDN w:val="0"/>
        <w:spacing w:line="360" w:lineRule="auto"/>
        <w:ind w:firstLineChars="200" w:firstLine="640"/>
        <w:jc w:val="left"/>
        <w:textAlignment w:val="bottom"/>
        <w:rPr>
          <w:rFonts w:ascii="仿宋" w:eastAsia="仿宋" w:hAnsi="仿宋" w:cs="仿宋" w:hint="eastAsia"/>
          <w:sz w:val="32"/>
          <w:szCs w:val="32"/>
        </w:rPr>
      </w:pPr>
      <w:r>
        <w:rPr>
          <w:rFonts w:ascii="仿宋" w:eastAsia="仿宋" w:hAnsi="仿宋" w:cs="仿宋"/>
          <w:sz w:val="32"/>
          <w:szCs w:val="32"/>
        </w:rPr>
        <w:t>2.售后服务要求：</w:t>
      </w:r>
    </w:p>
    <w:p w14:paraId="716BAE46" w14:textId="77777777" w:rsidR="00750991" w:rsidRDefault="00750991" w:rsidP="00750991">
      <w:pPr>
        <w:autoSpaceDE w:val="0"/>
        <w:autoSpaceDN w:val="0"/>
        <w:spacing w:line="360" w:lineRule="auto"/>
        <w:ind w:firstLineChars="200" w:firstLine="640"/>
        <w:jc w:val="left"/>
        <w:textAlignment w:val="bottom"/>
        <w:rPr>
          <w:rFonts w:ascii="仿宋" w:eastAsia="仿宋" w:hAnsi="仿宋" w:cs="仿宋" w:hint="eastAsia"/>
          <w:sz w:val="32"/>
          <w:szCs w:val="32"/>
        </w:rPr>
      </w:pPr>
      <w:r>
        <w:rPr>
          <w:rFonts w:ascii="仿宋" w:eastAsia="仿宋" w:hAnsi="仿宋" w:cs="仿宋"/>
          <w:sz w:val="32"/>
          <w:szCs w:val="32"/>
        </w:rPr>
        <w:t>（1）投标人应响应本次招标项目服务要求并在投标文件中提供详细具体的售后服务条款及保证。</w:t>
      </w:r>
    </w:p>
    <w:p w14:paraId="4B099D9A" w14:textId="77777777" w:rsidR="00750991" w:rsidRDefault="00750991" w:rsidP="00750991">
      <w:pPr>
        <w:autoSpaceDE w:val="0"/>
        <w:autoSpaceDN w:val="0"/>
        <w:spacing w:line="360" w:lineRule="auto"/>
        <w:ind w:firstLineChars="200" w:firstLine="640"/>
        <w:jc w:val="left"/>
        <w:textAlignment w:val="bottom"/>
        <w:rPr>
          <w:rFonts w:ascii="仿宋" w:eastAsia="仿宋" w:hAnsi="仿宋" w:cs="仿宋" w:hint="eastAsia"/>
          <w:sz w:val="32"/>
          <w:szCs w:val="32"/>
        </w:rPr>
      </w:pPr>
      <w:r>
        <w:rPr>
          <w:rFonts w:ascii="仿宋" w:eastAsia="仿宋" w:hAnsi="仿宋" w:cs="仿宋"/>
          <w:sz w:val="32"/>
          <w:szCs w:val="32"/>
        </w:rPr>
        <w:t>（2）投标人应保证福建省养老服务综合信息平台正常运行。</w:t>
      </w:r>
    </w:p>
    <w:p w14:paraId="4AF0059F" w14:textId="77777777" w:rsidR="00750991" w:rsidRDefault="00750991" w:rsidP="00750991">
      <w:pPr>
        <w:autoSpaceDE w:val="0"/>
        <w:autoSpaceDN w:val="0"/>
        <w:spacing w:line="360" w:lineRule="auto"/>
        <w:ind w:firstLineChars="200" w:firstLine="640"/>
        <w:jc w:val="left"/>
        <w:textAlignment w:val="bottom"/>
        <w:rPr>
          <w:rFonts w:ascii="仿宋" w:eastAsia="仿宋" w:hAnsi="仿宋" w:cs="仿宋" w:hint="eastAsia"/>
          <w:sz w:val="32"/>
          <w:szCs w:val="32"/>
        </w:rPr>
      </w:pPr>
      <w:r>
        <w:rPr>
          <w:rFonts w:ascii="仿宋" w:eastAsia="仿宋" w:hAnsi="仿宋" w:cs="仿宋"/>
          <w:sz w:val="32"/>
          <w:szCs w:val="32"/>
        </w:rPr>
        <w:t>（3）如果福建省养老服务综合信息平台发生故障，甲方可以通过电话、现场</w:t>
      </w:r>
      <w:r>
        <w:rPr>
          <w:rFonts w:ascii="仿宋" w:eastAsia="仿宋" w:hAnsi="仿宋" w:cs="仿宋" w:hint="eastAsia"/>
          <w:sz w:val="32"/>
          <w:szCs w:val="32"/>
        </w:rPr>
        <w:t>等</w:t>
      </w:r>
      <w:r>
        <w:rPr>
          <w:rFonts w:ascii="仿宋" w:eastAsia="仿宋" w:hAnsi="仿宋" w:cs="仿宋"/>
          <w:sz w:val="32"/>
          <w:szCs w:val="32"/>
        </w:rPr>
        <w:t>方式联系乙方反馈问题，乙方为</w:t>
      </w:r>
      <w:r>
        <w:rPr>
          <w:rFonts w:ascii="仿宋" w:eastAsia="仿宋" w:hAnsi="仿宋" w:cs="仿宋" w:hint="eastAsia"/>
          <w:sz w:val="32"/>
          <w:szCs w:val="32"/>
        </w:rPr>
        <w:t>甲方</w:t>
      </w:r>
      <w:r>
        <w:rPr>
          <w:rFonts w:ascii="仿宋" w:eastAsia="仿宋" w:hAnsi="仿宋" w:cs="仿宋"/>
          <w:sz w:val="32"/>
          <w:szCs w:val="32"/>
        </w:rPr>
        <w:t>提供</w:t>
      </w:r>
      <w:r>
        <w:rPr>
          <w:rFonts w:ascii="仿宋" w:eastAsia="仿宋" w:hAnsi="仿宋" w:cs="仿宋" w:hint="eastAsia"/>
          <w:sz w:val="32"/>
          <w:szCs w:val="32"/>
        </w:rPr>
        <w:t>现场</w:t>
      </w:r>
      <w:r>
        <w:rPr>
          <w:rFonts w:ascii="仿宋" w:eastAsia="仿宋" w:hAnsi="仿宋" w:cs="仿宋"/>
          <w:sz w:val="32"/>
          <w:szCs w:val="32"/>
        </w:rPr>
        <w:t>技术支持。</w:t>
      </w:r>
    </w:p>
    <w:p w14:paraId="75147515" w14:textId="77777777" w:rsidR="00750991" w:rsidRDefault="00750991" w:rsidP="00750991">
      <w:pPr>
        <w:autoSpaceDE w:val="0"/>
        <w:autoSpaceDN w:val="0"/>
        <w:spacing w:line="360" w:lineRule="auto"/>
        <w:ind w:firstLineChars="200" w:firstLine="640"/>
        <w:jc w:val="left"/>
        <w:textAlignment w:val="bottom"/>
        <w:rPr>
          <w:rFonts w:ascii="仿宋" w:eastAsia="仿宋" w:hAnsi="仿宋" w:cs="仿宋" w:hint="eastAsia"/>
          <w:sz w:val="32"/>
          <w:szCs w:val="32"/>
        </w:rPr>
      </w:pPr>
      <w:r>
        <w:rPr>
          <w:rFonts w:ascii="仿宋" w:eastAsia="仿宋" w:hAnsi="仿宋" w:cs="仿宋"/>
          <w:sz w:val="32"/>
          <w:szCs w:val="32"/>
        </w:rPr>
        <w:t>（4）投标人应具有完善的售后服务管理体系。</w:t>
      </w:r>
    </w:p>
    <w:p w14:paraId="265B1DC0" w14:textId="56D361D5" w:rsidR="00750991" w:rsidRPr="00750991" w:rsidRDefault="00750991" w:rsidP="00750991">
      <w:pPr>
        <w:autoSpaceDE w:val="0"/>
        <w:autoSpaceDN w:val="0"/>
        <w:spacing w:line="360" w:lineRule="auto"/>
        <w:ind w:firstLineChars="200" w:firstLine="640"/>
        <w:jc w:val="left"/>
        <w:textAlignment w:val="bottom"/>
        <w:rPr>
          <w:rFonts w:ascii="仿宋_GB2312" w:eastAsia="仿宋_GB2312" w:hAnsi="仿宋_GB2312" w:cs="仿宋_GB2312" w:hint="eastAsia"/>
          <w:sz w:val="32"/>
          <w:szCs w:val="32"/>
        </w:rPr>
      </w:pPr>
      <w:r>
        <w:rPr>
          <w:rFonts w:ascii="仿宋" w:eastAsia="仿宋" w:hAnsi="仿宋" w:cs="仿宋"/>
          <w:sz w:val="32"/>
          <w:szCs w:val="32"/>
        </w:rPr>
        <w:t>（5）投标人提供7×24小时的电话热线咨询服务，就福建省养老服务综合信息平台</w:t>
      </w:r>
      <w:r>
        <w:rPr>
          <w:rFonts w:ascii="仿宋" w:eastAsia="仿宋" w:hAnsi="仿宋" w:cs="仿宋" w:hint="eastAsia"/>
          <w:sz w:val="32"/>
          <w:szCs w:val="32"/>
        </w:rPr>
        <w:t>维护服务</w:t>
      </w:r>
      <w:r>
        <w:rPr>
          <w:rFonts w:ascii="仿宋" w:eastAsia="仿宋" w:hAnsi="仿宋" w:cs="仿宋"/>
          <w:sz w:val="32"/>
          <w:szCs w:val="32"/>
        </w:rPr>
        <w:t>进行及时响应。</w:t>
      </w:r>
    </w:p>
    <w:sectPr w:rsidR="00750991" w:rsidRPr="00750991" w:rsidSect="00750991">
      <w:pgSz w:w="11906" w:h="16838"/>
      <w:pgMar w:top="1440" w:right="1474" w:bottom="1440"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C047F0" w14:textId="77777777" w:rsidR="00D46482" w:rsidRDefault="00D46482" w:rsidP="00750991">
      <w:pPr>
        <w:rPr>
          <w:rFonts w:hint="eastAsia"/>
        </w:rPr>
      </w:pPr>
      <w:r>
        <w:separator/>
      </w:r>
    </w:p>
  </w:endnote>
  <w:endnote w:type="continuationSeparator" w:id="0">
    <w:p w14:paraId="7A82DB15" w14:textId="77777777" w:rsidR="00D46482" w:rsidRDefault="00D46482" w:rsidP="0075099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D6F692" w14:textId="77777777" w:rsidR="00D46482" w:rsidRDefault="00D46482" w:rsidP="00750991">
      <w:pPr>
        <w:rPr>
          <w:rFonts w:hint="eastAsia"/>
        </w:rPr>
      </w:pPr>
      <w:r>
        <w:separator/>
      </w:r>
    </w:p>
  </w:footnote>
  <w:footnote w:type="continuationSeparator" w:id="0">
    <w:p w14:paraId="0D447831" w14:textId="77777777" w:rsidR="00D46482" w:rsidRDefault="00D46482" w:rsidP="00750991">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33766A5"/>
    <w:multiLevelType w:val="singleLevel"/>
    <w:tmpl w:val="A33766A5"/>
    <w:lvl w:ilvl="0">
      <w:start w:val="1"/>
      <w:numFmt w:val="decimal"/>
      <w:suff w:val="space"/>
      <w:lvlText w:val="%1."/>
      <w:lvlJc w:val="left"/>
      <w:pPr>
        <w:ind w:left="420" w:hanging="420"/>
      </w:pPr>
      <w:rPr>
        <w:rFonts w:hint="default"/>
      </w:rPr>
    </w:lvl>
  </w:abstractNum>
  <w:abstractNum w:abstractNumId="1" w15:restartNumberingAfterBreak="0">
    <w:nsid w:val="7C921A6A"/>
    <w:multiLevelType w:val="singleLevel"/>
    <w:tmpl w:val="7C921A6A"/>
    <w:lvl w:ilvl="0">
      <w:start w:val="1"/>
      <w:numFmt w:val="chineseCountingThousand"/>
      <w:suff w:val="nothing"/>
      <w:lvlText w:val="%1、"/>
      <w:lvlJc w:val="left"/>
      <w:pPr>
        <w:ind w:left="0" w:firstLine="0"/>
      </w:pPr>
      <w:rPr>
        <w:rFonts w:hint="eastAsia"/>
      </w:rPr>
    </w:lvl>
  </w:abstractNum>
  <w:num w:numId="1" w16cid:durableId="1791900685">
    <w:abstractNumId w:val="1"/>
  </w:num>
  <w:num w:numId="2" w16cid:durableId="6106662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B96"/>
    <w:rsid w:val="000D6B96"/>
    <w:rsid w:val="00113539"/>
    <w:rsid w:val="00750991"/>
    <w:rsid w:val="00957D7C"/>
    <w:rsid w:val="00D464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A1FF7D"/>
  <w15:chartTrackingRefBased/>
  <w15:docId w15:val="{DB1BE1D4-6C54-4C63-B609-0D951E3CA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BodyText1I2"/>
    <w:qFormat/>
    <w:rsid w:val="00750991"/>
    <w:pPr>
      <w:widowControl w:val="0"/>
      <w:spacing w:after="0" w:line="240" w:lineRule="auto"/>
      <w:jc w:val="both"/>
    </w:pPr>
    <w:rPr>
      <w:rFonts w:ascii="Calibri" w:eastAsia="宋体" w:hAnsi="Calibri" w:cs="Times New Roman"/>
      <w:sz w:val="21"/>
      <w14:ligatures w14:val="none"/>
    </w:rPr>
  </w:style>
  <w:style w:type="paragraph" w:styleId="2">
    <w:name w:val="heading 2"/>
    <w:basedOn w:val="a"/>
    <w:next w:val="a"/>
    <w:link w:val="20"/>
    <w:qFormat/>
    <w:rsid w:val="00750991"/>
    <w:pPr>
      <w:keepNext/>
      <w:keepLines/>
      <w:spacing w:line="416" w:lineRule="auto"/>
      <w:outlineLvl w:val="1"/>
    </w:pPr>
    <w:rPr>
      <w:rFonts w:ascii="Calibri Light" w:hAnsi="Calibri Light"/>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0991"/>
    <w:pPr>
      <w:tabs>
        <w:tab w:val="center" w:pos="4153"/>
        <w:tab w:val="right" w:pos="8306"/>
      </w:tabs>
      <w:snapToGrid w:val="0"/>
      <w:jc w:val="center"/>
    </w:pPr>
    <w:rPr>
      <w:sz w:val="18"/>
      <w:szCs w:val="18"/>
    </w:rPr>
  </w:style>
  <w:style w:type="character" w:customStyle="1" w:styleId="a4">
    <w:name w:val="页眉 字符"/>
    <w:basedOn w:val="a0"/>
    <w:link w:val="a3"/>
    <w:uiPriority w:val="99"/>
    <w:rsid w:val="00750991"/>
    <w:rPr>
      <w:sz w:val="18"/>
      <w:szCs w:val="18"/>
    </w:rPr>
  </w:style>
  <w:style w:type="paragraph" w:styleId="a5">
    <w:name w:val="footer"/>
    <w:basedOn w:val="a"/>
    <w:link w:val="a6"/>
    <w:uiPriority w:val="99"/>
    <w:unhideWhenUsed/>
    <w:rsid w:val="00750991"/>
    <w:pPr>
      <w:tabs>
        <w:tab w:val="center" w:pos="4153"/>
        <w:tab w:val="right" w:pos="8306"/>
      </w:tabs>
      <w:snapToGrid w:val="0"/>
    </w:pPr>
    <w:rPr>
      <w:sz w:val="18"/>
      <w:szCs w:val="18"/>
    </w:rPr>
  </w:style>
  <w:style w:type="character" w:customStyle="1" w:styleId="a6">
    <w:name w:val="页脚 字符"/>
    <w:basedOn w:val="a0"/>
    <w:link w:val="a5"/>
    <w:uiPriority w:val="99"/>
    <w:rsid w:val="00750991"/>
    <w:rPr>
      <w:sz w:val="18"/>
      <w:szCs w:val="18"/>
    </w:rPr>
  </w:style>
  <w:style w:type="character" w:customStyle="1" w:styleId="20">
    <w:name w:val="标题 2 字符"/>
    <w:basedOn w:val="a0"/>
    <w:link w:val="2"/>
    <w:rsid w:val="00750991"/>
    <w:rPr>
      <w:rFonts w:ascii="Calibri Light" w:eastAsia="宋体" w:hAnsi="Calibri Light" w:cs="Times New Roman"/>
      <w:b/>
      <w:bCs/>
      <w:kern w:val="0"/>
      <w:sz w:val="32"/>
      <w:szCs w:val="32"/>
      <w14:ligatures w14:val="none"/>
    </w:rPr>
  </w:style>
  <w:style w:type="paragraph" w:customStyle="1" w:styleId="BodyText1I2">
    <w:name w:val="BodyText1I2"/>
    <w:basedOn w:val="a"/>
    <w:qFormat/>
    <w:rsid w:val="00750991"/>
    <w:pPr>
      <w:ind w:firstLine="600"/>
    </w:pPr>
    <w:rPr>
      <w:sz w:val="30"/>
    </w:rPr>
  </w:style>
  <w:style w:type="character" w:customStyle="1" w:styleId="font11">
    <w:name w:val="font11"/>
    <w:basedOn w:val="a0"/>
    <w:qFormat/>
    <w:rsid w:val="00750991"/>
    <w:rPr>
      <w:rFonts w:ascii="仿宋_GB2312" w:eastAsia="仿宋_GB2312" w:cs="仿宋_GB2312"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188</Words>
  <Characters>1076</Characters>
  <Application>Microsoft Office Word</Application>
  <DocSecurity>0</DocSecurity>
  <Lines>8</Lines>
  <Paragraphs>2</Paragraphs>
  <ScaleCrop>false</ScaleCrop>
  <Company/>
  <LinksUpToDate>false</LinksUpToDate>
  <CharactersWithSpaces>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2024-11-18T00:54:00Z</dcterms:created>
  <dcterms:modified xsi:type="dcterms:W3CDTF">2024-11-18T00:56:00Z</dcterms:modified>
</cp:coreProperties>
</file>