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outlineLvl w:val="0"/>
        <w:rPr>
          <w:rFonts w:hint="eastAsia" w:ascii="黑体" w:hAnsi="黑体" w:eastAsia="黑体" w:cs="仿宋_GB2312"/>
          <w:sz w:val="32"/>
          <w:szCs w:val="32"/>
        </w:rPr>
      </w:pPr>
      <w:r>
        <w:rPr>
          <w:rFonts w:hint="eastAsia" w:ascii="黑体" w:hAnsi="黑体" w:eastAsia="黑体" w:cs="仿宋_GB2312"/>
          <w:sz w:val="32"/>
          <w:szCs w:val="32"/>
        </w:rPr>
        <w:t>附件2：</w:t>
      </w:r>
    </w:p>
    <w:p>
      <w:pPr>
        <w:pStyle w:val="2"/>
        <w:ind w:firstLine="0"/>
        <w:outlineLvl w:val="0"/>
        <w:rPr>
          <w:rFonts w:hint="eastAsia" w:ascii="宋体" w:hAnsi="宋体" w:cs="宋体"/>
          <w:b/>
          <w:bCs/>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rPr>
        <w:t>福建省2025年“福康工程”项目</w:t>
      </w:r>
    </w:p>
    <w:p>
      <w:pPr>
        <w:keepNext w:val="0"/>
        <w:keepLines w:val="0"/>
        <w:pageBreakBefore w:val="0"/>
        <w:widowControl/>
        <w:shd w:val="clear" w:color="auto" w:fill="FFFFFF"/>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实施效果评估服务要求</w:t>
      </w:r>
    </w:p>
    <w:bookmarkEnd w:id="0"/>
    <w:p>
      <w:pPr>
        <w:pStyle w:val="2"/>
        <w:ind w:firstLine="0"/>
        <w:rPr>
          <w:rFonts w:ascii="仿宋_GB2312" w:hAnsi="仿宋_GB2312" w:eastAsia="仿宋_GB2312" w:cs="仿宋_GB2312"/>
          <w:b/>
          <w:bCs/>
          <w:sz w:val="32"/>
          <w:szCs w:val="32"/>
        </w:rPr>
      </w:pPr>
    </w:p>
    <w:p>
      <w:pPr>
        <w:pStyle w:val="4"/>
        <w:numPr>
          <w:ilvl w:val="0"/>
          <w:numId w:val="1"/>
        </w:numPr>
        <w:tabs>
          <w:tab w:val="left" w:pos="36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服务参数要求</w:t>
      </w:r>
    </w:p>
    <w:p>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为2025年福康工程项目实施效果出具评估报告。</w:t>
      </w:r>
    </w:p>
    <w:p>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按照2025年福康工程项目招标要求，结合假肢相关国家标准设计项目评估方案。</w:t>
      </w:r>
    </w:p>
    <w:p>
      <w:pPr>
        <w:pStyle w:val="2"/>
        <w:rPr>
          <w:rFonts w:hint="eastAsia" w:ascii="仿宋" w:hAnsi="仿宋" w:eastAsia="仿宋" w:cs="仿宋"/>
          <w:sz w:val="32"/>
          <w:szCs w:val="32"/>
        </w:rPr>
      </w:pPr>
      <w:r>
        <w:rPr>
          <w:rFonts w:hint="eastAsia" w:ascii="仿宋" w:hAnsi="仿宋" w:eastAsia="仿宋" w:cs="仿宋"/>
          <w:sz w:val="32"/>
          <w:szCs w:val="32"/>
        </w:rPr>
        <w:t>3.评估机构满意度回访比例不低于50%的比例，专家现场实物评估比例不低于10%。(本年度项目预计假肢受助对象数量约为160例，所有受助对象地址都在福建省内）</w:t>
      </w:r>
    </w:p>
    <w:p>
      <w:pPr>
        <w:pStyle w:val="2"/>
        <w:rPr>
          <w:rFonts w:ascii="仿宋" w:hAnsi="仿宋" w:eastAsia="仿宋" w:cs="仿宋"/>
          <w:sz w:val="32"/>
          <w:szCs w:val="32"/>
        </w:rPr>
      </w:pPr>
      <w:r>
        <w:rPr>
          <w:rFonts w:hint="eastAsia" w:ascii="仿宋" w:hAnsi="仿宋" w:eastAsia="仿宋" w:cs="仿宋"/>
          <w:sz w:val="32"/>
          <w:szCs w:val="32"/>
        </w:rPr>
        <w:t>4.具备康复辅助器具评估相关专业能力，可提供2名康复辅助器具专家开展评估工作，需提供假肢</w:t>
      </w:r>
      <w:r>
        <w:rPr>
          <w:rFonts w:ascii="仿宋" w:hAnsi="仿宋" w:eastAsia="仿宋" w:cs="仿宋"/>
          <w:sz w:val="32"/>
          <w:szCs w:val="32"/>
        </w:rPr>
        <w:t>制作师执业资格</w:t>
      </w:r>
      <w:r>
        <w:rPr>
          <w:rFonts w:hint="eastAsia" w:ascii="仿宋" w:hAnsi="仿宋" w:eastAsia="仿宋" w:cs="仿宋"/>
          <w:sz w:val="32"/>
          <w:szCs w:val="32"/>
        </w:rPr>
        <w:t>、四级（含）以上假肢装配工职业资格或相关专业中级以上职称以证明康复辅助器具专业能力。</w:t>
      </w:r>
    </w:p>
    <w:p>
      <w:pPr>
        <w:pStyle w:val="4"/>
        <w:numPr>
          <w:ilvl w:val="0"/>
          <w:numId w:val="1"/>
        </w:numPr>
        <w:tabs>
          <w:tab w:val="left" w:pos="360"/>
        </w:tabs>
        <w:spacing w:line="360" w:lineRule="auto"/>
        <w:rPr>
          <w:rFonts w:hint="eastAsia" w:ascii="仿宋_GB2312" w:hAnsi="仿宋_GB2312" w:eastAsia="仿宋_GB2312" w:cs="仿宋_GB2312"/>
        </w:rPr>
      </w:pPr>
      <w:r>
        <w:rPr>
          <w:rFonts w:hint="eastAsia" w:ascii="仿宋_GB2312" w:hAnsi="仿宋_GB2312" w:eastAsia="仿宋_GB2312" w:cs="仿宋_GB2312"/>
        </w:rPr>
        <w:t>商务条件</w:t>
      </w:r>
    </w:p>
    <w:p>
      <w:pPr>
        <w:autoSpaceDE w:val="0"/>
        <w:autoSpaceDN w:val="0"/>
        <w:spacing w:line="360" w:lineRule="auto"/>
        <w:ind w:firstLine="640" w:firstLineChars="200"/>
        <w:jc w:val="left"/>
        <w:textAlignment w:val="bottom"/>
        <w:rPr>
          <w:rFonts w:hint="eastAsia" w:ascii="仿宋" w:hAnsi="仿宋" w:eastAsia="仿宋" w:cs="仿宋"/>
          <w:sz w:val="32"/>
          <w:szCs w:val="32"/>
        </w:rPr>
      </w:pPr>
      <w:r>
        <w:rPr>
          <w:rFonts w:ascii="仿宋" w:hAnsi="仿宋" w:eastAsia="仿宋" w:cs="仿宋"/>
          <w:sz w:val="32"/>
          <w:szCs w:val="32"/>
        </w:rPr>
        <w:t>1.付款方式：</w:t>
      </w:r>
    </w:p>
    <w:tbl>
      <w:tblPr>
        <w:tblStyle w:val="16"/>
        <w:tblW w:w="8580" w:type="dxa"/>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14"/>
        <w:gridCol w:w="1824"/>
        <w:gridCol w:w="52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1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hint="eastAsia" w:ascii="仿宋" w:hAnsi="仿宋" w:eastAsia="仿宋" w:cs="仿宋"/>
                <w:sz w:val="32"/>
                <w:szCs w:val="32"/>
              </w:rPr>
            </w:pPr>
            <w:r>
              <w:rPr>
                <w:rFonts w:ascii="仿宋" w:hAnsi="仿宋" w:eastAsia="仿宋" w:cs="仿宋"/>
                <w:sz w:val="32"/>
                <w:szCs w:val="32"/>
                <w:lang w:bidi="ar"/>
              </w:rPr>
              <w:t>支付期次</w:t>
            </w:r>
          </w:p>
        </w:tc>
        <w:tc>
          <w:tcPr>
            <w:tcW w:w="18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hint="eastAsia" w:ascii="仿宋" w:hAnsi="仿宋" w:eastAsia="仿宋" w:cs="仿宋"/>
                <w:sz w:val="32"/>
                <w:szCs w:val="32"/>
              </w:rPr>
            </w:pPr>
            <w:r>
              <w:rPr>
                <w:rFonts w:ascii="仿宋" w:hAnsi="仿宋" w:eastAsia="仿宋" w:cs="仿宋"/>
                <w:sz w:val="32"/>
                <w:szCs w:val="32"/>
                <w:lang w:bidi="ar"/>
              </w:rPr>
              <w:t>支付比例</w:t>
            </w:r>
            <w:r>
              <w:rPr>
                <w:rFonts w:hint="eastAsia" w:ascii="仿宋" w:hAnsi="仿宋" w:eastAsia="仿宋" w:cs="仿宋"/>
                <w:sz w:val="32"/>
                <w:szCs w:val="32"/>
                <w:lang w:bidi="ar"/>
              </w:rPr>
              <w:t>（</w:t>
            </w:r>
            <w:r>
              <w:rPr>
                <w:rFonts w:ascii="仿宋" w:hAnsi="仿宋" w:eastAsia="仿宋" w:cs="仿宋"/>
                <w:sz w:val="32"/>
                <w:szCs w:val="32"/>
                <w:lang w:bidi="ar"/>
              </w:rPr>
              <w:t>%)</w:t>
            </w:r>
          </w:p>
        </w:tc>
        <w:tc>
          <w:tcPr>
            <w:tcW w:w="524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hint="eastAsia" w:ascii="仿宋" w:hAnsi="仿宋" w:eastAsia="仿宋" w:cs="仿宋"/>
                <w:sz w:val="32"/>
                <w:szCs w:val="32"/>
              </w:rPr>
            </w:pPr>
            <w:r>
              <w:rPr>
                <w:rFonts w:ascii="仿宋" w:hAnsi="仿宋" w:eastAsia="仿宋" w:cs="仿宋"/>
                <w:sz w:val="32"/>
                <w:szCs w:val="32"/>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5" w:hRule="atLeast"/>
        </w:trPr>
        <w:tc>
          <w:tcPr>
            <w:tcW w:w="151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hint="eastAsia" w:ascii="仿宋" w:hAnsi="仿宋" w:eastAsia="仿宋" w:cs="仿宋"/>
                <w:sz w:val="32"/>
                <w:szCs w:val="32"/>
              </w:rPr>
            </w:pPr>
            <w:r>
              <w:rPr>
                <w:rFonts w:ascii="仿宋" w:hAnsi="仿宋" w:eastAsia="仿宋" w:cs="仿宋"/>
                <w:sz w:val="32"/>
                <w:szCs w:val="32"/>
                <w:lang w:bidi="ar"/>
              </w:rPr>
              <w:t>1</w:t>
            </w:r>
          </w:p>
        </w:tc>
        <w:tc>
          <w:tcPr>
            <w:tcW w:w="18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仿宋"/>
                <w:sz w:val="32"/>
                <w:szCs w:val="32"/>
              </w:rPr>
            </w:pPr>
            <w:r>
              <w:rPr>
                <w:rFonts w:hint="eastAsia" w:ascii="仿宋" w:hAnsi="仿宋" w:eastAsia="仿宋" w:cs="仿宋"/>
                <w:sz w:val="32"/>
                <w:szCs w:val="32"/>
              </w:rPr>
              <w:t>100</w:t>
            </w:r>
          </w:p>
        </w:tc>
        <w:tc>
          <w:tcPr>
            <w:tcW w:w="5242" w:type="dxa"/>
            <w:tcBorders>
              <w:top w:val="outset" w:color="auto" w:sz="6" w:space="0"/>
              <w:left w:val="outset" w:color="auto" w:sz="6" w:space="0"/>
              <w:bottom w:val="outset" w:color="auto" w:sz="6" w:space="0"/>
              <w:right w:val="outset" w:color="auto" w:sz="6" w:space="0"/>
            </w:tcBorders>
            <w:vAlign w:val="center"/>
          </w:tcPr>
          <w:p>
            <w:pPr>
              <w:autoSpaceDE w:val="0"/>
              <w:autoSpaceDN w:val="0"/>
              <w:spacing w:line="360" w:lineRule="auto"/>
              <w:jc w:val="left"/>
              <w:textAlignment w:val="bottom"/>
              <w:rPr>
                <w:rFonts w:hint="eastAsia" w:ascii="仿宋" w:hAnsi="仿宋" w:eastAsia="仿宋" w:cs="仿宋"/>
                <w:sz w:val="32"/>
                <w:szCs w:val="32"/>
              </w:rPr>
            </w:pPr>
            <w:r>
              <w:rPr>
                <w:rFonts w:hint="eastAsia" w:ascii="仿宋" w:hAnsi="仿宋" w:eastAsia="仿宋" w:cs="仿宋"/>
                <w:sz w:val="32"/>
                <w:szCs w:val="32"/>
              </w:rPr>
              <w:t>完成2025年福康工程项目的实施效果评估报告，支付合同金额的100%。</w:t>
            </w:r>
          </w:p>
        </w:tc>
      </w:tr>
    </w:tbl>
    <w:p>
      <w:pPr>
        <w:autoSpaceDE w:val="0"/>
        <w:autoSpaceDN w:val="0"/>
        <w:spacing w:line="360" w:lineRule="auto"/>
        <w:ind w:firstLine="640" w:firstLineChars="200"/>
        <w:jc w:val="left"/>
        <w:textAlignment w:val="bottom"/>
        <w:rPr>
          <w:rFonts w:hint="eastAsia"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其他</w:t>
      </w:r>
      <w:r>
        <w:rPr>
          <w:rFonts w:ascii="仿宋" w:hAnsi="仿宋" w:eastAsia="仿宋" w:cs="仿宋"/>
          <w:sz w:val="32"/>
          <w:szCs w:val="32"/>
        </w:rPr>
        <w:t>要求：</w:t>
      </w:r>
    </w:p>
    <w:p>
      <w:pPr>
        <w:autoSpaceDE w:val="0"/>
        <w:autoSpaceDN w:val="0"/>
        <w:spacing w:line="360" w:lineRule="auto"/>
        <w:ind w:firstLine="640" w:firstLineChars="200"/>
        <w:jc w:val="left"/>
        <w:textAlignment w:val="bottom"/>
        <w:rPr>
          <w:rFonts w:hint="eastAsia" w:ascii="仿宋" w:hAnsi="仿宋" w:eastAsia="仿宋" w:cs="仿宋"/>
          <w:sz w:val="32"/>
          <w:szCs w:val="32"/>
        </w:rPr>
      </w:pPr>
      <w:r>
        <w:rPr>
          <w:rFonts w:ascii="仿宋" w:hAnsi="仿宋" w:eastAsia="仿宋" w:cs="仿宋"/>
          <w:sz w:val="32"/>
          <w:szCs w:val="32"/>
        </w:rPr>
        <w:t>（1）投标人应</w:t>
      </w:r>
      <w:r>
        <w:rPr>
          <w:rFonts w:hint="eastAsia" w:ascii="仿宋" w:hAnsi="仿宋" w:eastAsia="仿宋" w:cs="仿宋"/>
          <w:sz w:val="32"/>
          <w:szCs w:val="32"/>
        </w:rPr>
        <w:t>在2025年福康工程项目实施机构提供验收材料后10个工作日内出具实施效果评估报告</w:t>
      </w:r>
      <w:r>
        <w:rPr>
          <w:rFonts w:ascii="仿宋" w:hAnsi="仿宋" w:eastAsia="仿宋" w:cs="仿宋"/>
          <w:sz w:val="32"/>
          <w:szCs w:val="32"/>
        </w:rPr>
        <w:t>。</w:t>
      </w:r>
    </w:p>
    <w:p>
      <w:pPr>
        <w:autoSpaceDE w:val="0"/>
        <w:autoSpaceDN w:val="0"/>
        <w:spacing w:line="360" w:lineRule="auto"/>
        <w:ind w:firstLine="640" w:firstLineChars="200"/>
        <w:jc w:val="left"/>
        <w:textAlignment w:val="bottom"/>
        <w:rPr>
          <w:rFonts w:hint="eastAsia" w:ascii="仿宋" w:hAnsi="仿宋" w:eastAsia="仿宋" w:cs="仿宋"/>
          <w:sz w:val="32"/>
          <w:szCs w:val="32"/>
        </w:rPr>
      </w:pPr>
      <w:r>
        <w:rPr>
          <w:rFonts w:ascii="仿宋" w:hAnsi="仿宋" w:eastAsia="仿宋" w:cs="仿宋"/>
          <w:sz w:val="32"/>
          <w:szCs w:val="32"/>
        </w:rPr>
        <w:t>（2）投标人应</w:t>
      </w:r>
      <w:r>
        <w:rPr>
          <w:rFonts w:hint="eastAsia" w:ascii="仿宋" w:hAnsi="仿宋" w:eastAsia="仿宋" w:cs="仿宋"/>
          <w:sz w:val="32"/>
          <w:szCs w:val="32"/>
        </w:rPr>
        <w:t>对评估报告的抽查过程原始数据保存三年以上</w:t>
      </w:r>
      <w:r>
        <w:rPr>
          <w:rFonts w:ascii="仿宋" w:hAnsi="仿宋" w:eastAsia="仿宋" w:cs="仿宋"/>
          <w:sz w:val="32"/>
          <w:szCs w:val="32"/>
        </w:rPr>
        <w:t>。</w:t>
      </w:r>
    </w:p>
    <w:p>
      <w:pPr>
        <w:jc w:val="center"/>
        <w:rPr>
          <w:rFonts w:hint="eastAsia" w:ascii="仿宋_GB2312" w:hAnsi="仿宋_GB2312" w:eastAsia="仿宋_GB2312" w:cs="仿宋_GB2312"/>
          <w:b/>
          <w:bCs/>
          <w:color w:val="333333"/>
          <w:sz w:val="32"/>
          <w:szCs w:val="32"/>
          <w:shd w:val="clear" w:color="auto" w:fill="FFFFFF"/>
        </w:rPr>
      </w:pPr>
    </w:p>
    <w:p>
      <w:pPr>
        <w:rPr>
          <w:rFonts w:hint="eastAsia"/>
        </w:rPr>
      </w:pPr>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21A6A"/>
    <w:multiLevelType w:val="singleLevel"/>
    <w:tmpl w:val="7C921A6A"/>
    <w:lvl w:ilvl="0" w:tentative="0">
      <w:start w:val="1"/>
      <w:numFmt w:val="chineseCountingThousand"/>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39"/>
    <w:rsid w:val="00507739"/>
    <w:rsid w:val="00867513"/>
    <w:rsid w:val="0090781E"/>
    <w:rsid w:val="00AA42EE"/>
    <w:rsid w:val="00E33F05"/>
    <w:rsid w:val="26402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Calibri" w:hAnsi="Calibri" w:eastAsia="宋体" w:cs="Times New Roman"/>
      <w:kern w:val="2"/>
      <w:sz w:val="21"/>
      <w:szCs w:val="24"/>
      <w:lang w:val="en-US" w:eastAsia="zh-CN" w:bidi="ar-SA"/>
      <w14:ligatures w14:val="none"/>
    </w:rPr>
  </w:style>
  <w:style w:type="paragraph" w:styleId="3">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19"/>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customStyle="1" w:styleId="2">
    <w:name w:val="BodyText1I2"/>
    <w:basedOn w:val="1"/>
    <w:qFormat/>
    <w:uiPriority w:val="0"/>
    <w:pPr>
      <w:ind w:firstLine="600"/>
    </w:pPr>
    <w:rPr>
      <w:sz w:val="30"/>
    </w:rPr>
  </w:style>
  <w:style w:type="paragraph" w:styleId="12">
    <w:name w:val="footer"/>
    <w:basedOn w:val="1"/>
    <w:link w:val="37"/>
    <w:unhideWhenUsed/>
    <w:qFormat/>
    <w:uiPriority w:val="99"/>
    <w:pPr>
      <w:tabs>
        <w:tab w:val="center" w:pos="4153"/>
        <w:tab w:val="right" w:pos="8306"/>
      </w:tabs>
      <w:snapToGrid w:val="0"/>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3"/>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4"/>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5"/>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6"/>
    <w:semiHidden/>
    <w:qFormat/>
    <w:uiPriority w:val="9"/>
    <w:rPr>
      <w:rFonts w:cstheme="majorBidi"/>
      <w:color w:val="104862" w:themeColor="accent1" w:themeShade="BF"/>
      <w:sz w:val="28"/>
      <w:szCs w:val="28"/>
    </w:rPr>
  </w:style>
  <w:style w:type="character" w:customStyle="1" w:styleId="22">
    <w:name w:val="标题 5 字符"/>
    <w:basedOn w:val="17"/>
    <w:link w:val="7"/>
    <w:semiHidden/>
    <w:uiPriority w:val="9"/>
    <w:rPr>
      <w:rFonts w:cstheme="majorBidi"/>
      <w:color w:val="104862" w:themeColor="accent1" w:themeShade="BF"/>
      <w:sz w:val="24"/>
    </w:rPr>
  </w:style>
  <w:style w:type="character" w:customStyle="1" w:styleId="23">
    <w:name w:val="标题 6 字符"/>
    <w:basedOn w:val="17"/>
    <w:link w:val="8"/>
    <w:semiHidden/>
    <w:uiPriority w:val="9"/>
    <w:rPr>
      <w:rFonts w:cstheme="majorBidi"/>
      <w:b/>
      <w:bCs/>
      <w:color w:val="104862" w:themeColor="accent1" w:themeShade="BF"/>
    </w:rPr>
  </w:style>
  <w:style w:type="character" w:customStyle="1" w:styleId="24">
    <w:name w:val="标题 7 字符"/>
    <w:basedOn w:val="17"/>
    <w:link w:val="9"/>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0"/>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1"/>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uiPriority w:val="99"/>
    <w:rPr>
      <w:sz w:val="18"/>
      <w:szCs w:val="18"/>
    </w:rPr>
  </w:style>
  <w:style w:type="character" w:customStyle="1" w:styleId="37">
    <w:name w:val="页脚 字符"/>
    <w:basedOn w:val="17"/>
    <w:link w:val="1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Words>
  <Characters>380</Characters>
  <Lines>3</Lines>
  <Paragraphs>1</Paragraphs>
  <TotalTime>1</TotalTime>
  <ScaleCrop>false</ScaleCrop>
  <LinksUpToDate>false</LinksUpToDate>
  <CharactersWithSpaces>445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2025-11-05T03:12:00Z</dcterms:created>
  <dc:creator>admin</dc:creator>
  <cp:lastModifiedBy>admin</cp:lastModifiedBy>
  <dcterms:modified xsi:type="dcterms:W3CDTF">2025-11-05T03:14:44Z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