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95" w:hanging="419" w:hangingChars="131"/>
        <w:rPr>
          <w:rFonts w:hint="eastAsia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</w:rPr>
        <w:t>附件</w:t>
      </w:r>
    </w:p>
    <w:tbl>
      <w:tblPr>
        <w:tblStyle w:val="5"/>
        <w:tblW w:w="14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74"/>
        <w:gridCol w:w="1700"/>
        <w:gridCol w:w="1560"/>
        <w:gridCol w:w="1417"/>
        <w:gridCol w:w="1985"/>
        <w:gridCol w:w="1701"/>
        <w:gridCol w:w="1420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方正小标宋简体"/>
                <w:b/>
                <w:bCs/>
                <w:color w:val="000000"/>
                <w:kern w:val="0"/>
                <w:sz w:val="36"/>
                <w:szCs w:val="36"/>
              </w:rPr>
              <w:t>校外培训机构登记情况表（截至2021年</w:t>
            </w:r>
            <w:r>
              <w:rPr>
                <w:rFonts w:hint="eastAsia" w:ascii="宋体" w:hAnsi="宋体" w:cs="方正小标宋简体"/>
                <w:b/>
                <w:bCs/>
                <w:color w:val="000000"/>
                <w:kern w:val="0"/>
                <w:sz w:val="36"/>
                <w:szCs w:val="36"/>
              </w:rPr>
              <w:t>底</w:t>
            </w:r>
            <w:r>
              <w:rPr>
                <w:rFonts w:hint="eastAsia" w:ascii="宋体" w:hAnsi="宋体" w:eastAsia="宋体" w:cs="方正小标宋简体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  <w:p>
            <w:pPr>
              <w:widowControl w:val="0"/>
              <w:ind w:firstLine="1200" w:firstLineChars="500"/>
              <w:jc w:val="both"/>
              <w:textAlignment w:val="center"/>
              <w:rPr>
                <w:rFonts w:ascii="宋体" w:hAnsi="宋体" w:eastAsia="宋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填表单位：                                   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黑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</w:rPr>
              <w:t>省（自治区、直辖市）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黑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民政部门登记校外培训机构总量</w:t>
            </w:r>
          </w:p>
        </w:tc>
        <w:tc>
          <w:tcPr>
            <w:tcW w:w="9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jc w:val="center"/>
              <w:textAlignment w:val="center"/>
              <w:rPr>
                <w:rFonts w:hint="eastAsia" w:ascii="宋体" w:hAnsi="宋体" w:eastAsia="宋体" w:cs="黑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其中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黑体"/>
                <w:color w:val="00000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配合教育部门清理不合规校外培训机构数量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原在市场监管部门登记，《意见》印发后按照统一登记有关规定到民政部门登记的</w:t>
            </w:r>
          </w:p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培训机构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业务范围涉及义务教育阶段学科类校外培训的机构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业务范围涉及高中阶段学科类校外培训的机构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业务范围涉及学龄前儿童培训的</w:t>
            </w:r>
          </w:p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机构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业务范围涉及非学科类校外培训的机构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</w:rPr>
              <w:t>开展线上</w:t>
            </w:r>
          </w:p>
          <w:p>
            <w:pPr>
              <w:jc w:val="center"/>
              <w:textAlignment w:val="baseline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</w:rPr>
              <w:t>培训的机构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XX</w:t>
            </w:r>
            <w:r>
              <w:rPr>
                <w:rFonts w:hint="eastAsia" w:ascii="宋体" w:hAnsi="宋体" w:eastAsia="宋体" w:cs="仿宋_GB2312"/>
                <w:color w:val="000000"/>
                <w:sz w:val="24"/>
              </w:rPr>
              <w:t>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XX市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总量（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省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、自治区、直辖市）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</w:tbl>
    <w:p>
      <w:pPr>
        <w:overflowPunct w:val="0"/>
        <w:spacing w:line="440" w:lineRule="exact"/>
        <w:ind w:firstLine="240" w:firstLineChars="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注：本表所称校外培训机构，是指中共中央办公厅、国务院办公厅《关于进一步减轻义务教育阶段学生作业负担和校外培训负担的意见》涉及的面向学龄前儿童、义务教育阶段学生、高中阶段学生的学科类和非学科类校外培训机构，不涉及职业培训机构以及面向成人的培训机构。</w:t>
      </w:r>
    </w:p>
    <w:p>
      <w:pPr>
        <w:overflowPunct w:val="0"/>
        <w:spacing w:line="440" w:lineRule="exact"/>
        <w:ind w:firstLine="24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  <w:sectPr>
          <w:pgSz w:w="16838" w:h="11906" w:orient="landscape"/>
          <w:pgMar w:top="1531" w:right="2098" w:bottom="850" w:left="1985" w:header="851" w:footer="1588" w:gutter="0"/>
          <w:pgNumType w:fmt="numberInDash"/>
          <w:cols w:space="720" w:num="1"/>
          <w:titlePg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E1B58"/>
    <w:rsid w:val="49836F56"/>
    <w:rsid w:val="4B5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2021-09-16T08:51:00Z</dcterms:created>
  <dc:creator>ChenWei</dc:creator>
  <cp:lastModifiedBy>王若筠</cp:lastModifiedBy>
  <dcterms:modified xsi:type="dcterms:W3CDTF">2021-09-30T05:15:48Z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