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附件</w:t>
      </w:r>
    </w:p>
    <w:p>
      <w:pPr>
        <w:spacing w:line="360" w:lineRule="auto"/>
        <w:rPr>
          <w:rFonts w:hint="eastAsia" w:asciiTheme="minorEastAsia" w:hAnsiTheme="minorEastAsia" w:cstheme="minorEastAsia"/>
          <w:color w:val="auto"/>
          <w:sz w:val="32"/>
          <w:szCs w:val="32"/>
        </w:rPr>
      </w:pPr>
    </w:p>
    <w:p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购买《福建老区发展手册》（202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年）</w:t>
      </w:r>
    </w:p>
    <w:p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统计资料收集整理编辑等服务询价表</w:t>
      </w:r>
    </w:p>
    <w:p>
      <w:pPr>
        <w:spacing w:line="400" w:lineRule="exact"/>
        <w:jc w:val="right"/>
        <w:rPr>
          <w:rFonts w:hint="eastAsia" w:ascii="仿宋_GB2312" w:hAnsi="仿宋_GB2312" w:eastAsia="仿宋_GB2312" w:cs="仿宋_GB2312"/>
          <w:color w:val="auto"/>
          <w:sz w:val="24"/>
        </w:rPr>
      </w:pPr>
    </w:p>
    <w:p>
      <w:pPr>
        <w:jc w:val="right"/>
        <w:rPr>
          <w:rFonts w:hint="eastAsia" w:ascii="宋体" w:hAnsi="宋体" w:eastAsia="宋体" w:cstheme="minorEastAsia"/>
          <w:color w:val="auto"/>
          <w:sz w:val="28"/>
          <w:szCs w:val="28"/>
        </w:rPr>
      </w:pPr>
      <w:r>
        <w:rPr>
          <w:rFonts w:hint="eastAsia" w:ascii="宋体" w:hAnsi="宋体" w:eastAsia="宋体" w:cstheme="minorEastAsia"/>
          <w:color w:val="auto"/>
          <w:sz w:val="28"/>
          <w:szCs w:val="28"/>
        </w:rPr>
        <w:t>货币及单位：人民币元</w:t>
      </w:r>
    </w:p>
    <w:p>
      <w:pPr>
        <w:spacing w:line="400" w:lineRule="exact"/>
        <w:jc w:val="right"/>
        <w:rPr>
          <w:rFonts w:hint="eastAsia" w:ascii="宋体" w:hAnsi="宋体" w:eastAsia="宋体" w:cs="仿宋_GB2312"/>
          <w:color w:val="auto"/>
          <w:sz w:val="32"/>
          <w:szCs w:val="32"/>
        </w:rPr>
      </w:pPr>
    </w:p>
    <w:tbl>
      <w:tblPr>
        <w:tblStyle w:val="16"/>
        <w:tblW w:w="8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916"/>
        <w:gridCol w:w="1403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213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供应商条件</w:t>
            </w:r>
          </w:p>
        </w:tc>
        <w:tc>
          <w:tcPr>
            <w:tcW w:w="391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项目内容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数量</w:t>
            </w:r>
          </w:p>
        </w:tc>
        <w:tc>
          <w:tcPr>
            <w:tcW w:w="1147" w:type="dxa"/>
            <w:vAlign w:val="center"/>
          </w:tcPr>
          <w:p>
            <w:pPr>
              <w:widowControl/>
              <w:shd w:val="clear" w:color="auto" w:fill="FFFFFF"/>
              <w:spacing w:beforeAutospacing="1" w:after="0" w:afterAutospacing="1" w:line="440" w:lineRule="atLeast"/>
              <w:jc w:val="center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报价总金额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具备履行合同所必需的设备和专业技术能力的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  <w:lang w:eastAsia="zh-CN"/>
              </w:rPr>
              <w:t>企事业单位或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社会组织</w:t>
            </w:r>
            <w:bookmarkStart w:id="0" w:name="_GoBack"/>
            <w:bookmarkEnd w:id="0"/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，参加政府采购活动前3年内在经营活动中没有重大违法记录。</w:t>
            </w:r>
          </w:p>
        </w:tc>
        <w:tc>
          <w:tcPr>
            <w:tcW w:w="3916" w:type="dxa"/>
          </w:tcPr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一、数据归集与结构化处理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（一）202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年度福建革命老区数据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1.应包含老区基本情况、老区综合发展、老区人民生活、老区产业发展、老区社会事业发展等5个一级指标。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2.一级指标下应包括如下二级指标内容：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（1）老区基本情况（4个二级指标）：各县（市、区）老区乡镇比重、老区建制村（居）比重、户籍人口数量、常住人口数量及构成。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（2）老区综合发展（10个二级指标）：地区GDP、人均GDP、三大产业产值（一、二、三产值）及三产构成、工业增加值、建筑业增加值、地方财政收入、地方财政支出。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（3）老区人民生活（4个二级指标）：城镇居民人均可支配收入、农村居民人均可支配收入、城镇居民最低生活保障人数、农村居民最低生活保障人数。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（4）老区产业发展（10 个二级指标）：规模以上工业增加值增速、规模以上工业企业流动资产合计、规模以上工业企业利税总额、农林牧渔业总产值、农作物播种面积、主要农产品产量、社会消费品零售总额、金融机构货币存款余额、金融机构货币贷款余额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（5）老区社会事业发展（7个二级指标）：公路通车里程、卫生机构床位数、卫生技术人员数、期末参加基本医疗保险人数、普通高中专任教师数、普通初中专任教师数、期末参加基本养老保险职工人数。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要求：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eastAsia="zh-CN"/>
              </w:rPr>
              <w:t>应当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确保数据的时效性和准确性。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二、202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年福建革命老区发展状况分析报告撰写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（一）报告需满足以下要求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1.内容详实：报告需包含详细的数据分析、图表展示等，确保内容全面、深入。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2.分析全面：从经济、社会、文化、生态等多维度进行综合分析，揭示革命老区发展的现状、问题及趋势。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3.建议可行：针对分析中发现的问题，提出切实可行的对策建议，为政府决策提供参考。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4.格式规范：报告需符合政府公文写作等要求，确保逻辑清晰、语言流畅。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（二）报告装订与印刷要求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报告定稿后印刷10份，装订形式可根据实际需求选择胶装或骑马订等方式，确保装订牢固、整齐，页面无缺漏、错页等情况。</w:t>
            </w:r>
          </w:p>
        </w:tc>
        <w:tc>
          <w:tcPr>
            <w:tcW w:w="1403" w:type="dxa"/>
          </w:tcPr>
          <w:p>
            <w:pPr>
              <w:spacing w:line="360" w:lineRule="auto"/>
              <w:jc w:val="lef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一、202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年度数据搜集与结构化处理1份；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、202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年福建革命老区发展状况分析报告撰写1份；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eastAsia="zh-CN"/>
              </w:rPr>
              <w:t>三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、202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年福建革命老区发展状况分析报告印刷10份。</w:t>
            </w:r>
          </w:p>
          <w:p>
            <w:pPr>
              <w:spacing w:line="360" w:lineRule="auto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147" w:type="dxa"/>
          </w:tcPr>
          <w:p>
            <w:pPr>
              <w:spacing w:line="360" w:lineRule="auto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spacing w:line="360" w:lineRule="auto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合计</w:t>
            </w:r>
          </w:p>
        </w:tc>
        <w:tc>
          <w:tcPr>
            <w:tcW w:w="6466" w:type="dxa"/>
            <w:gridSpan w:val="3"/>
          </w:tcPr>
          <w:p>
            <w:pPr>
              <w:spacing w:line="360" w:lineRule="auto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大写：   万   仟   百   元整（小写：¥    元）</w:t>
            </w:r>
          </w:p>
        </w:tc>
      </w:tr>
    </w:tbl>
    <w:p>
      <w:pPr>
        <w:spacing w:line="360" w:lineRule="auto"/>
        <w:ind w:firstLine="448" w:firstLineChars="200"/>
        <w:rPr>
          <w:rFonts w:hint="eastAsia" w:asciiTheme="minorEastAsia" w:hAnsiTheme="minorEastAsia" w:cstheme="minorEastAsia"/>
          <w:color w:val="auto"/>
          <w:sz w:val="24"/>
        </w:rPr>
      </w:pPr>
    </w:p>
    <w:p>
      <w:pPr>
        <w:spacing w:line="360" w:lineRule="auto"/>
        <w:rPr>
          <w:rFonts w:hint="eastAsia" w:asciiTheme="minorEastAsia" w:hAnsiTheme="minorEastAsia" w:cstheme="minorEastAsia"/>
          <w:color w:val="auto"/>
          <w:sz w:val="24"/>
        </w:rPr>
      </w:pPr>
    </w:p>
    <w:p>
      <w:pPr>
        <w:spacing w:line="360" w:lineRule="auto"/>
        <w:ind w:firstLine="448" w:firstLineChars="200"/>
        <w:rPr>
          <w:rFonts w:hint="eastAsia" w:asciiTheme="minorEastAsia" w:hAnsiTheme="minorEastAsia" w:cstheme="minorEastAsia"/>
          <w:color w:val="auto"/>
          <w:sz w:val="24"/>
        </w:rPr>
      </w:pP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供应商全称：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（加盖公章） </w:t>
      </w: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供应商营业执照复印件一份：</w:t>
      </w: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供应商代表签字：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</w:t>
      </w: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>
      <w:pPr>
        <w:rPr>
          <w:rFonts w:hint="eastAsia"/>
          <w:color w:val="auto"/>
        </w:rPr>
      </w:pPr>
    </w:p>
    <w:sectPr>
      <w:footerReference r:id="rId3" w:type="default"/>
      <w:pgSz w:w="11906" w:h="16838"/>
      <w:pgMar w:top="1701" w:right="1701" w:bottom="1701" w:left="1701" w:header="851" w:footer="992" w:gutter="0"/>
      <w:cols w:space="0" w:num="1"/>
      <w:docGrid w:type="linesAndChars" w:linePitch="305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CDC"/>
    <w:rsid w:val="00062676"/>
    <w:rsid w:val="000839D9"/>
    <w:rsid w:val="002A6EDB"/>
    <w:rsid w:val="005F5CDC"/>
    <w:rsid w:val="00B20824"/>
    <w:rsid w:val="2A6B51A4"/>
    <w:rsid w:val="52A6490B"/>
    <w:rsid w:val="663B51B7"/>
    <w:rsid w:val="7C31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jc w:val="left"/>
      <w:outlineLvl w:val="3"/>
    </w:pPr>
    <w:rPr>
      <w:rFonts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jc w:val="left"/>
      <w:outlineLvl w:val="4"/>
    </w:pPr>
    <w:rPr>
      <w:rFonts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jc w:val="left"/>
      <w:outlineLvl w:val="5"/>
    </w:pPr>
    <w:rPr>
      <w:rFonts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  <w:jc w:val="left"/>
    </w:pPr>
    <w:rPr>
      <w:sz w:val="22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  <w:sz w:val="22"/>
      <w14:ligatures w14:val="standardContextual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184</Words>
  <Characters>1051</Characters>
  <Lines>8</Lines>
  <Paragraphs>2</Paragraphs>
  <TotalTime>106</TotalTime>
  <ScaleCrop>false</ScaleCrop>
  <LinksUpToDate>false</LinksUpToDate>
  <CharactersWithSpaces>1233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2025-09-22T02:23:00Z</dcterms:created>
  <dc:creator>admin</dc:creator>
  <cp:lastModifiedBy>Administrator</cp:lastModifiedBy>
  <dcterms:modified xsi:type="dcterms:W3CDTF">2026-10-20T07:08:34Z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